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Kersten Dirk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3"/>
        <w:gridCol w:w="909"/>
        <w:gridCol w:w="780"/>
        <w:gridCol w:w="603"/>
        <w:gridCol w:w="336"/>
        <w:gridCol w:w="996"/>
        <w:gridCol w:w="415"/>
        <w:gridCol w:w="982"/>
        <w:gridCol w:w="1235"/>
        <w:gridCol w:w="954"/>
        <w:gridCol w:w="10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256,072</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25.5024</w:t>
            </w:r>
            <w:r>
              <w:rPr>
                <w:rFonts w:ascii="Times;serif" w:hAnsi="Times;serif"/>
                <w:color w:val="008000"/>
                <w:position w:val="7"/>
                <w:sz w:val="16"/>
                <w:sz w:val="20"/>
                <w:shd w:fill="FFFFFF" w:val="clear"/>
              </w:rPr>
              <w:t>(2)</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3,592,184</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p>
        </w:tc>
      </w:tr>
      <w:tr>
        <w:trPr/>
        <w:tc>
          <w:tcPr>
            <w:tcW w:w="19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5,388</w:t>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26.0428</w:t>
            </w:r>
            <w:r>
              <w:rPr>
                <w:rFonts w:ascii="Times;serif" w:hAnsi="Times;serif"/>
                <w:color w:val="008000"/>
                <w:position w:val="7"/>
                <w:sz w:val="16"/>
                <w:sz w:val="20"/>
                <w:shd w:fill="FFFFFF" w:val="clear"/>
              </w:rPr>
              <w:t>(5)</w:t>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3,586,796</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ForDyne B.V. ("ForDyne") on November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the range of $25.00 to $25.995,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the footnotes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directly by ForDyne. ForDyne is jointly owned by Forbion Capital Fund IV Cooperatief U.A. ("FCF IV") and Forbion Growth Opportunities Fund II Cooperatief U.A. ("FGO II"). Forbion IV Management B.V. ("Forbion Management") may be deemed to have voting and dispositive power over 2,160,426 of the shares of common stock held by ForDyne. Investment decisions with respect to the shares held by ForDyne can be made by FCPM III Services B.V., the director of Forbion Management, which may delegate such powers to its investment committee which may delegate such powers to the authorized representatives of Forbion Management. Messrs. Slootweg, van Osch, Mulder, van Houten, Reithinger and Boorsma (the "Partners") are partners of FCPM III Services B.V., which acts as the investment advisor to the directors of ForDyne. The Reporting Person is a partner of Forbion Management and a member of the investment committee of Forbion Management.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Forbion Growth II Management B.V. ("FGO II Management"), the director of FGO II, may be deemed to have voting and dispositive power over 1,426,370 of the shares of common stock held by ForDyne. Investment decisions with respect to the shares held by ForDyne can be made by FCPM III Services B.V., the director of FGO II Management, which may delegate such powers to its investment committee which may delegate such powers to the authorized representatives of FGO II Management. The Partners are partners of FCPM III Services B.V., which acts as the investment advisor to the directors of ForDyne. The Reporting Person is a partner of FGO II Management and a member of the investment committee of FGO II Management. The Reporting Person disclaims beneficial ownership of the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within the range of $26.00 to $26.12,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the footnotes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Dirk Kersten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3682"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1046</Words>
  <Characters>5572</Characters>
  <CharactersWithSpaces>6537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