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Friedl-Naderer Johanna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DYNE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1560 TRAPELO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Dyne Therapeutics, Inc.</w:t>
              </w:r>
            </w:hyperlink>
            <w:r>
              <w:rPr/>
              <w:t xml:space="preserve"> [ </w:t>
            </w:r>
            <w:r>
              <w:rPr>
                <w:rFonts w:ascii="Times;serif" w:hAnsi="Times;serif"/>
                <w:color w:val="0000FF"/>
                <w:sz w:val="24"/>
                <w:shd w:fill="FFFFFF" w:val="clear"/>
              </w:rPr>
              <w:t>DYN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06"/>
        <w:gridCol w:w="456"/>
        <w:gridCol w:w="798"/>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26.28</w:t>
            </w:r>
            <w:r>
              <w:rPr>
                <w:rFonts w:ascii="Times;serif" w:hAnsi="Times;serif"/>
                <w:color w:val="008000"/>
                <w:position w:val="7"/>
                <w:sz w:val="16"/>
                <w:sz w:val="20"/>
                <w:shd w:fill="FFFFFF" w:val="clear"/>
              </w:rPr>
              <w:t>(2)</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153,982</w:t>
            </w:r>
            <w:r>
              <w:rPr>
                <w:rFonts w:ascii="Times;serif" w:hAnsi="Times;serif"/>
                <w:color w:val="008000"/>
                <w:position w:val="7"/>
                <w:sz w:val="16"/>
                <w:sz w:val="20"/>
                <w:shd w:fill="FFFFFF" w:val="clear"/>
              </w:rPr>
              <w:t>(3)</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by the Reporting Person to satisfy tax withholding obligations in connection with the vesting of restricted stock units granted to the Reporting Person on February 12, 2026. The automatic sale of the Reporting Person's shares is provided for in a restricted stock unit agreement constituting a "binding contract" consistent with the affirmative defense to liability under Rule 10b5-1 and the sale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within the range of $26.17 to $26.39,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119,928 unvested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 Wilson,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15598" TargetMode="External"/><Relationship Id="rId5" Type="http://schemas.openxmlformats.org/officeDocument/2006/relationships/hyperlink" Target="http://www.sec.gov/cgi-bin/browse-edgar?action=getcompany&amp;CIK=0001818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725</Words>
  <Characters>3951</Characters>
  <CharactersWithSpaces>4606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