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8164d424b5.htm"/>
        <w:bookmarkStart w:id="1" w:name="ksd98164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424(b)(5) </w:t>
        <w:br/>
        <w:t xml:space="preserve">Registration No. 333-277655 </w:t>
      </w:r>
    </w:p>
    <w:p>
      <w:pPr>
        <w:pStyle w:val="TextBody"/>
        <w:bidi w:val="0"/>
        <w:spacing w:before="0" w:after="0"/>
        <w:jc w:val="left"/>
        <w:rPr/>
      </w:pPr>
      <w:r>
        <w:rPr/>
        <w:t> </w:t>
      </w:r>
    </w:p>
    <w:p>
      <w:pPr>
        <w:pStyle w:val="TextBody"/>
        <w:bidi w:val="0"/>
        <w:spacing w:before="0" w:after="0"/>
        <w:jc w:val="both"/>
        <w:rPr>
          <w:rFonts w:ascii="Arial Narrow" w:hAnsi="Arial Narrow"/>
          <w:b/>
          <w:color w:val="DE1A1E"/>
          <w:sz w:val="17"/>
        </w:rPr>
      </w:pPr>
      <w:r>
        <w:rPr>
          <w:rFonts w:ascii="Arial Narrow" w:hAnsi="Arial Narrow"/>
          <w:b/>
          <w:color w:val="DE1A1E"/>
          <w:sz w:val="17"/>
        </w:rPr>
        <w:t xml:space="preserve">The information in this preliminary prospectus supplement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they are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DE1A1E"/>
          <w:sz w:val="20"/>
        </w:rPr>
      </w:pPr>
      <w:r>
        <w:rPr>
          <w:rFonts w:ascii="Times New Roman" w:hAnsi="Times New Roman"/>
          <w:b/>
          <w:color w:val="DE1A1E"/>
          <w:sz w:val="20"/>
        </w:rPr>
        <w:t xml:space="preserve">SUBJECT TO COMPLETION, DATED JULY 21, 2026 </w:t>
      </w:r>
    </w:p>
    <w:p>
      <w:pPr>
        <w:pStyle w:val="TextBody"/>
        <w:bidi w:val="0"/>
        <w:spacing w:before="120" w:after="0"/>
        <w:ind w:left="960" w:right="960" w:hanging="0"/>
        <w:jc w:val="left"/>
        <w:rPr>
          <w:rFonts w:ascii="Times New Roman" w:hAnsi="Times New Roman"/>
          <w:i/>
          <w:sz w:val="24"/>
        </w:rPr>
      </w:pPr>
      <w:r>
        <w:rPr>
          <w:rFonts w:ascii="Times New Roman" w:hAnsi="Times New Roman"/>
          <w:i/>
          <w:sz w:val="24"/>
        </w:rPr>
        <w:t xml:space="preserve">PROSPECTUS SUPPLEMENT </w:t>
      </w:r>
    </w:p>
    <w:p>
      <w:pPr>
        <w:pStyle w:val="TextBody"/>
        <w:bidi w:val="0"/>
        <w:spacing w:before="0" w:after="0"/>
        <w:ind w:left="960" w:right="960" w:hanging="0"/>
        <w:jc w:val="left"/>
        <w:rPr>
          <w:rFonts w:ascii="Times New Roman" w:hAnsi="Times New Roman"/>
          <w:i/>
          <w:sz w:val="24"/>
        </w:rPr>
      </w:pPr>
      <w:r>
        <w:rPr>
          <w:rFonts w:ascii="Times New Roman" w:hAnsi="Times New Roman"/>
          <w:i/>
          <w:sz w:val="24"/>
        </w:rPr>
        <w:t xml:space="preserve">(To Prospectus dated March 5, 2024) </w:t>
      </w:r>
    </w:p>
    <w:p>
      <w:pPr>
        <w:pStyle w:val="TextBody"/>
        <w:bidi w:val="0"/>
        <w:spacing w:before="320" w:after="0"/>
        <w:ind w:left="960" w:right="960" w:hanging="0"/>
        <w:jc w:val="center"/>
        <w:rPr>
          <w:rFonts w:ascii="Times New Roman" w:hAnsi="Times New Roman"/>
          <w:i/>
          <w:sz w:val="36"/>
        </w:rPr>
      </w:pPr>
      <w:r>
        <w:rPr>
          <w:rFonts w:ascii="Times New Roman" w:hAnsi="Times New Roman"/>
          <w:i/>
          <w:sz w:val="36"/>
        </w:rPr>
        <w:t xml:space="preserve">$300,000,000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2037715" cy="6324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37715" cy="632460"/>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i/>
          <w:sz w:val="24"/>
        </w:rPr>
      </w:pPr>
      <w:r>
        <w:rPr>
          <w:rFonts w:ascii="Times New Roman" w:hAnsi="Times New Roman"/>
          <w:i/>
          <w:sz w:val="24"/>
        </w:rPr>
        <w:t xml:space="preserve">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both"/>
        <w:rPr>
          <w:rFonts w:ascii="Bodoni MT" w:hAnsi="Bodoni MT"/>
          <w:b/>
          <w:i/>
          <w:sz w:val="20"/>
        </w:rPr>
      </w:pPr>
      <w:r>
        <w:rPr>
          <w:rFonts w:ascii="Bodoni MT" w:hAnsi="Bodoni MT"/>
          <w:b/>
          <w:i/>
          <w:sz w:val="20"/>
        </w:rPr>
        <w:t xml:space="preserve">We are offering $300,000,000 of shares of our common stock. </w:t>
      </w:r>
    </w:p>
    <w:p>
      <w:pPr>
        <w:pStyle w:val="TextBody"/>
        <w:bidi w:val="0"/>
        <w:spacing w:before="240" w:after="0"/>
        <w:ind w:left="960" w:right="960" w:hanging="0"/>
        <w:jc w:val="both"/>
        <w:rPr>
          <w:rFonts w:ascii="Bodoni MT" w:hAnsi="Bodoni MT"/>
          <w:b/>
          <w:i/>
          <w:sz w:val="20"/>
        </w:rPr>
      </w:pPr>
      <w:r>
        <w:rPr>
          <w:rFonts w:ascii="Bodoni MT" w:hAnsi="Bodoni MT"/>
          <w:b/>
          <w:i/>
          <w:sz w:val="20"/>
        </w:rPr>
        <w:t xml:space="preserve">Our common stock is listed on The Nasdaq Global Select Market under the symbol “DYN.” The last reported sale price of our common stock on The Nasdaq Global Select Market on July 20, 2026 was $23.45 per share.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both"/>
        <w:rPr/>
      </w:pPr>
      <w:r>
        <w:rPr>
          <w:rFonts w:ascii="Bodoni MT" w:hAnsi="Bodoni MT"/>
          <w:b/>
          <w:i/>
          <w:sz w:val="20"/>
        </w:rPr>
        <w:t>Investing in our common stock involves a high degree of risk. See “</w:t>
      </w:r>
      <w:hyperlink w:anchor="supptoc98164_4">
        <w:r>
          <w:rPr>
            <w:rStyle w:val="InternetLink"/>
            <w:rFonts w:ascii="Bodoni MT" w:hAnsi="Bodoni MT"/>
            <w:b/>
            <w:i/>
            <w:sz w:val="20"/>
          </w:rPr>
          <w:t>Risk Factors</w:t>
        </w:r>
      </w:hyperlink>
      <w:r>
        <w:rPr>
          <w:rFonts w:ascii="Bodoni MT" w:hAnsi="Bodoni MT"/>
          <w:b/>
          <w:i/>
          <w:sz w:val="20"/>
        </w:rPr>
        <w:t xml:space="preserve">” beginning on page S-9 of this prospectus supplement and in the documents incorporated by reference into this prospectus supplement.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0" w:after="0"/>
        <w:ind w:left="960" w:right="960" w:hanging="0"/>
        <w:jc w:val="left"/>
        <w:rPr/>
      </w:pPr>
      <w:r>
        <w:rPr/>
        <w:t> </w:t>
      </w:r>
    </w:p>
    <w:tbl>
      <w:tblPr>
        <w:tblW w:w="5000" w:type="pct"/>
        <w:jc w:val="center"/>
        <w:tblInd w:w="0" w:type="dxa"/>
        <w:tblLayout w:type="fixed"/>
        <w:tblCellMar>
          <w:top w:w="0" w:type="dxa"/>
          <w:left w:w="0" w:type="dxa"/>
          <w:bottom w:w="0" w:type="dxa"/>
          <w:right w:w="0" w:type="dxa"/>
        </w:tblCellMar>
      </w:tblPr>
      <w:tblGrid>
        <w:gridCol w:w="6168"/>
        <w:gridCol w:w="784"/>
        <w:gridCol w:w="173"/>
        <w:gridCol w:w="985"/>
        <w:gridCol w:w="74"/>
        <w:gridCol w:w="785"/>
        <w:gridCol w:w="172"/>
        <w:gridCol w:w="985"/>
        <w:gridCol w:w="79"/>
      </w:tblGrid>
      <w:tr>
        <w:trPr/>
        <w:tc>
          <w:tcPr>
            <w:tcW w:w="6168" w:type="dxa"/>
            <w:tcBorders/>
            <w:vAlign w:val="center"/>
          </w:tcPr>
          <w:p>
            <w:pPr>
              <w:pStyle w:val="TableContents"/>
              <w:bidi w:val="0"/>
              <w:spacing w:before="0" w:after="283"/>
              <w:jc w:val="left"/>
              <w:rPr>
                <w:sz w:val="4"/>
                <w:szCs w:val="4"/>
              </w:rPr>
            </w:pPr>
            <w:r>
              <w:rPr>
                <w:sz w:val="4"/>
                <w:szCs w:val="4"/>
              </w:rPr>
            </w:r>
          </w:p>
        </w:tc>
        <w:tc>
          <w:tcPr>
            <w:tcW w:w="784"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168"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left"/>
              <w:rPr/>
            </w:pPr>
            <w:r>
              <w:rPr/>
              <w:t>    </w:t>
            </w:r>
          </w:p>
        </w:tc>
        <w:tc>
          <w:tcPr>
            <w:tcW w:w="1158" w:type="dxa"/>
            <w:gridSpan w:val="2"/>
            <w:tcBorders/>
            <w:vAlign w:val="bottom"/>
          </w:tcPr>
          <w:p>
            <w:pPr>
              <w:pStyle w:val="TableContents"/>
              <w:pBdr>
                <w:bottom w:val="single" w:sz="2" w:space="1" w:color="000000"/>
              </w:pBdr>
              <w:bidi w:val="0"/>
              <w:spacing w:before="0" w:after="0"/>
              <w:jc w:val="center"/>
              <w:rPr>
                <w:rFonts w:ascii="Bodoni MT" w:hAnsi="Bodoni MT"/>
                <w:b/>
                <w:i/>
                <w:sz w:val="16"/>
              </w:rPr>
            </w:pPr>
            <w:r>
              <w:rPr>
                <w:rFonts w:ascii="Bodoni MT" w:hAnsi="Bodoni MT"/>
                <w:b/>
                <w:i/>
                <w:sz w:val="16"/>
              </w:rPr>
              <w:t>Per Share</w:t>
            </w:r>
          </w:p>
        </w:tc>
        <w:tc>
          <w:tcPr>
            <w:tcW w:w="74"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pBdr>
                <w:bottom w:val="single" w:sz="2" w:space="1" w:color="000000"/>
              </w:pBdr>
              <w:bidi w:val="0"/>
              <w:spacing w:before="0" w:after="0"/>
              <w:jc w:val="center"/>
              <w:rPr>
                <w:rFonts w:ascii="Bodoni MT" w:hAnsi="Bodoni MT"/>
                <w:b/>
                <w:i/>
                <w:sz w:val="16"/>
              </w:rPr>
            </w:pPr>
            <w:r>
              <w:rPr>
                <w:rFonts w:ascii="Bodoni MT" w:hAnsi="Bodoni MT"/>
                <w:b/>
                <w:i/>
                <w:sz w:val="16"/>
              </w:rPr>
              <w:t>Total</w:t>
            </w:r>
          </w:p>
        </w:tc>
        <w:tc>
          <w:tcPr>
            <w:tcW w:w="79" w:type="dxa"/>
            <w:tcBorders/>
            <w:vAlign w:val="bottom"/>
          </w:tcPr>
          <w:p>
            <w:pPr>
              <w:pStyle w:val="TableContents"/>
              <w:bidi w:val="0"/>
              <w:spacing w:before="0" w:after="283"/>
              <w:jc w:val="left"/>
              <w:rPr/>
            </w:pPr>
            <w:r>
              <w:rPr/>
              <w:t> </w:t>
            </w:r>
          </w:p>
        </w:tc>
      </w:tr>
      <w:tr>
        <w:trPr/>
        <w:tc>
          <w:tcPr>
            <w:tcW w:w="6168"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Public offering price</w:t>
            </w:r>
          </w:p>
        </w:tc>
        <w:tc>
          <w:tcPr>
            <w:tcW w:w="78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i/>
              </w:rPr>
            </w:pPr>
            <w:r>
              <w:rPr>
                <w:i/>
              </w:rPr>
              <w:t>$</w:t>
            </w:r>
          </w:p>
        </w:tc>
        <w:tc>
          <w:tcPr>
            <w:tcW w:w="985"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i/>
              </w:rPr>
            </w:pPr>
            <w:r>
              <w:rPr>
                <w:i/>
              </w:rPr>
              <w:t>$</w:t>
            </w:r>
          </w:p>
        </w:tc>
        <w:tc>
          <w:tcPr>
            <w:tcW w:w="985" w:type="dxa"/>
            <w:tcBorders/>
            <w:shd w:fill="CCEEFF" w:val="clear"/>
            <w:vAlign w:val="bottom"/>
          </w:tcPr>
          <w:p>
            <w:pPr>
              <w:pStyle w:val="TableContents"/>
              <w:bidi w:val="0"/>
              <w:spacing w:before="0" w:after="283"/>
              <w:jc w:val="right"/>
              <w:rPr/>
            </w:pPr>
            <w:r>
              <w:rPr/>
              <w:t>    </w:t>
            </w:r>
          </w:p>
        </w:tc>
        <w:tc>
          <w:tcPr>
            <w:tcW w:w="79" w:type="dxa"/>
            <w:tcBorders/>
            <w:shd w:fill="CCEEFF" w:val="clear"/>
            <w:vAlign w:val="bottom"/>
          </w:tcPr>
          <w:p>
            <w:pPr>
              <w:pStyle w:val="TableContents"/>
              <w:bidi w:val="0"/>
              <w:spacing w:before="0" w:after="283"/>
              <w:jc w:val="left"/>
              <w:rPr/>
            </w:pPr>
            <w:r>
              <w:rPr/>
              <w:t> </w:t>
            </w:r>
          </w:p>
        </w:tc>
      </w:tr>
      <w:tr>
        <w:trPr/>
        <w:tc>
          <w:tcPr>
            <w:tcW w:w="6168" w:type="dxa"/>
            <w:tcBorders/>
          </w:tcPr>
          <w:p>
            <w:pPr>
              <w:pStyle w:val="TableContents"/>
              <w:bidi w:val="0"/>
              <w:spacing w:before="0" w:after="0"/>
              <w:jc w:val="left"/>
              <w:rPr>
                <w:rFonts w:ascii="Times New Roman" w:hAnsi="Times New Roman"/>
                <w:i/>
                <w:sz w:val="20"/>
              </w:rPr>
            </w:pPr>
            <w:r>
              <w:rPr>
                <w:rFonts w:ascii="Times New Roman" w:hAnsi="Times New Roman"/>
                <w:i/>
                <w:sz w:val="20"/>
              </w:rPr>
              <w:t>Underwriting discounts and commissions(1)</w:t>
            </w:r>
          </w:p>
        </w:tc>
        <w:tc>
          <w:tcPr>
            <w:tcW w:w="78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i/>
              </w:rPr>
            </w:pPr>
            <w:r>
              <w:rPr>
                <w:i/>
              </w:rPr>
              <w:t>$</w:t>
            </w:r>
          </w:p>
        </w:tc>
        <w:tc>
          <w:tcPr>
            <w:tcW w:w="985"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i/>
              </w:rPr>
            </w:pPr>
            <w:r>
              <w:rPr>
                <w:i/>
              </w:rPr>
              <w:t>$</w:t>
            </w:r>
          </w:p>
        </w:tc>
        <w:tc>
          <w:tcPr>
            <w:tcW w:w="985" w:type="dxa"/>
            <w:tcBorders/>
            <w:vAlign w:val="bottom"/>
          </w:tcPr>
          <w:p>
            <w:pPr>
              <w:pStyle w:val="TableContents"/>
              <w:bidi w:val="0"/>
              <w:spacing w:before="0" w:after="283"/>
              <w:jc w:val="right"/>
              <w:rPr/>
            </w:pPr>
            <w:r>
              <w:rPr/>
              <w:t>    </w:t>
            </w:r>
          </w:p>
        </w:tc>
        <w:tc>
          <w:tcPr>
            <w:tcW w:w="79" w:type="dxa"/>
            <w:tcBorders/>
            <w:vAlign w:val="bottom"/>
          </w:tcPr>
          <w:p>
            <w:pPr>
              <w:pStyle w:val="TableContents"/>
              <w:bidi w:val="0"/>
              <w:spacing w:before="0" w:after="283"/>
              <w:jc w:val="left"/>
              <w:rPr/>
            </w:pPr>
            <w:r>
              <w:rPr/>
              <w:t> </w:t>
            </w:r>
          </w:p>
        </w:tc>
      </w:tr>
      <w:tr>
        <w:trPr/>
        <w:tc>
          <w:tcPr>
            <w:tcW w:w="6168"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Proceeds, before expenses, to us</w:t>
            </w:r>
          </w:p>
        </w:tc>
        <w:tc>
          <w:tcPr>
            <w:tcW w:w="78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i/>
              </w:rPr>
            </w:pPr>
            <w:r>
              <w:rPr>
                <w:i/>
              </w:rPr>
              <w:t>$</w:t>
            </w:r>
          </w:p>
        </w:tc>
        <w:tc>
          <w:tcPr>
            <w:tcW w:w="985"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i/>
              </w:rPr>
            </w:pPr>
            <w:r>
              <w:rPr>
                <w:i/>
              </w:rPr>
              <w:t>$</w:t>
            </w:r>
          </w:p>
        </w:tc>
        <w:tc>
          <w:tcPr>
            <w:tcW w:w="985" w:type="dxa"/>
            <w:tcBorders/>
            <w:shd w:fill="CCEEFF" w:val="clear"/>
            <w:vAlign w:val="bottom"/>
          </w:tcPr>
          <w:p>
            <w:pPr>
              <w:pStyle w:val="TableContents"/>
              <w:bidi w:val="0"/>
              <w:spacing w:before="0" w:after="283"/>
              <w:jc w:val="right"/>
              <w:rPr/>
            </w:pPr>
            <w:r>
              <w:rPr/>
              <w:t>    </w:t>
            </w:r>
          </w:p>
        </w:tc>
        <w:tc>
          <w:tcPr>
            <w:tcW w:w="79"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ind w:left="960" w:right="960" w:hanging="0"/>
        <w:jc w:val="left"/>
        <w:rPr>
          <w:bdr w:val="single" w:sz="2" w:space="1" w:color="000000"/>
        </w:rPr>
      </w:pPr>
      <w:r>
        <w:rPr>
          <w:bdr w:val="single" w:sz="2" w:space="1" w:color="000000"/>
        </w:rPr>
        <w:t> </w:t>
      </w:r>
    </w:p>
    <w:tbl>
      <w:tblPr>
        <w:tblW w:w="5000" w:type="pct"/>
        <w:jc w:val="left"/>
        <w:tblInd w:w="96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i/>
              </w:rPr>
            </w:pPr>
            <w:r>
              <w:rPr>
                <w:i/>
              </w:rPr>
              <w:t>(1)</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both"/>
              <w:rPr>
                <w:rFonts w:ascii="Times New Roman" w:hAnsi="Times New Roman"/>
                <w:i/>
                <w:sz w:val="20"/>
              </w:rPr>
            </w:pPr>
            <w:r>
              <w:rPr>
                <w:rFonts w:ascii="Times New Roman" w:hAnsi="Times New Roman"/>
                <w:i/>
                <w:sz w:val="20"/>
              </w:rPr>
              <w:t xml:space="preserve">See “Underwriters” beginning on page S-19 for additional information regarding underwriter compensation. </w:t>
            </w:r>
          </w:p>
        </w:tc>
      </w:tr>
    </w:tbl>
    <w:p>
      <w:pPr>
        <w:pStyle w:val="TextBody"/>
        <w:bidi w:val="0"/>
        <w:spacing w:before="240" w:after="0"/>
        <w:ind w:left="960" w:right="960" w:hanging="0"/>
        <w:jc w:val="both"/>
        <w:rPr>
          <w:rFonts w:ascii="Times New Roman" w:hAnsi="Times New Roman"/>
          <w:i/>
          <w:sz w:val="20"/>
        </w:rPr>
      </w:pPr>
      <w:r>
        <w:rPr>
          <w:rFonts w:ascii="Times New Roman" w:hAnsi="Times New Roman"/>
          <w:i/>
          <w:sz w:val="20"/>
        </w:rPr>
        <w:t xml:space="preserve">We have granted the underwriters an option for a period of 30 days to purchase up to an additional $45,000,000 of shares of our common stock at the public offering price set forth above, less underwriting discounts and commissions. </w:t>
      </w:r>
    </w:p>
    <w:p>
      <w:pPr>
        <w:pStyle w:val="TextBody"/>
        <w:bidi w:val="0"/>
        <w:spacing w:before="240" w:after="0"/>
        <w:ind w:left="960" w:right="960" w:hanging="0"/>
        <w:jc w:val="both"/>
        <w:rPr>
          <w:rFonts w:ascii="Times New Roman" w:hAnsi="Times New Roman"/>
          <w:i/>
          <w:sz w:val="20"/>
        </w:rPr>
      </w:pPr>
      <w:r>
        <w:rPr>
          <w:rFonts w:ascii="Times New Roman" w:hAnsi="Times New Roman"/>
          <w:i/>
          <w:sz w:val="20"/>
        </w:rPr>
        <w:t xml:space="preserve">The underwriters expect to deliver the shares of common stock to purchasers on or about July , 2026. </w:t>
      </w:r>
    </w:p>
    <w:p>
      <w:pPr>
        <w:pStyle w:val="TextBody"/>
        <w:bidi w:val="0"/>
        <w:spacing w:before="240" w:after="0"/>
        <w:ind w:left="960" w:right="960" w:hanging="0"/>
        <w:jc w:val="both"/>
        <w:rPr>
          <w:rFonts w:ascii="Times New Roman" w:hAnsi="Times New Roman"/>
          <w:i/>
          <w:sz w:val="20"/>
        </w:rPr>
      </w:pPr>
      <w:r>
        <w:rPr>
          <w:rFonts w:ascii="Times New Roman" w:hAnsi="Times New Roman"/>
          <w:i/>
          <w:sz w:val="20"/>
        </w:rPr>
        <w:t xml:space="preserve">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i/>
          <w:sz w:val="20"/>
        </w:rPr>
      </w:pPr>
      <w:r>
        <w:rPr>
          <w:rFonts w:ascii="Times New Roman" w:hAnsi="Times New Roman"/>
          <w:i/>
          <w:sz w:val="20"/>
        </w:rPr>
        <w:t xml:space="preserve">Joint Book-Running Managers </w:t>
      </w:r>
    </w:p>
    <w:p>
      <w:pPr>
        <w:pStyle w:val="TextBody"/>
        <w:bidi w:val="0"/>
        <w:spacing w:before="0" w:after="0"/>
        <w:ind w:left="960" w:right="960" w:hanging="0"/>
        <w:jc w:val="left"/>
        <w:rPr/>
      </w:pPr>
      <w:r>
        <w:rPr/>
        <w:t> </w:t>
      </w:r>
    </w:p>
    <w:tbl>
      <w:tblPr>
        <w:tblW w:w="5000" w:type="pct"/>
        <w:jc w:val="center"/>
        <w:tblInd w:w="0" w:type="dxa"/>
        <w:tblLayout w:type="fixed"/>
        <w:tblCellMar>
          <w:top w:w="0" w:type="dxa"/>
          <w:left w:w="0" w:type="dxa"/>
          <w:bottom w:w="0" w:type="dxa"/>
          <w:right w:w="0" w:type="dxa"/>
        </w:tblCellMar>
      </w:tblPr>
      <w:tblGrid>
        <w:gridCol w:w="3674"/>
        <w:gridCol w:w="101"/>
        <w:gridCol w:w="3266"/>
        <w:gridCol w:w="101"/>
        <w:gridCol w:w="3063"/>
      </w:tblGrid>
      <w:tr>
        <w:trPr/>
        <w:tc>
          <w:tcPr>
            <w:tcW w:w="367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63" w:type="dxa"/>
            <w:tcBorders/>
            <w:vAlign w:val="center"/>
          </w:tcPr>
          <w:p>
            <w:pPr>
              <w:pStyle w:val="TableContents"/>
              <w:bidi w:val="0"/>
              <w:spacing w:before="0" w:after="283"/>
              <w:jc w:val="left"/>
              <w:rPr>
                <w:sz w:val="4"/>
                <w:szCs w:val="4"/>
              </w:rPr>
            </w:pPr>
            <w:r>
              <w:rPr>
                <w:sz w:val="4"/>
                <w:szCs w:val="4"/>
              </w:rPr>
            </w:r>
          </w:p>
        </w:tc>
      </w:tr>
      <w:tr>
        <w:trPr/>
        <w:tc>
          <w:tcPr>
            <w:tcW w:w="3674" w:type="dxa"/>
            <w:tcBorders/>
            <w:vAlign w:val="bottom"/>
          </w:tcPr>
          <w:p>
            <w:pPr>
              <w:pStyle w:val="TableContents"/>
              <w:bidi w:val="0"/>
              <w:spacing w:before="0" w:after="283"/>
              <w:jc w:val="left"/>
              <w:rPr>
                <w:i/>
              </w:rPr>
            </w:pPr>
            <w:r>
              <w:rPr>
                <w:i/>
              </w:rPr>
              <w:t>Morgan Stanley</w:t>
            </w:r>
          </w:p>
        </w:tc>
        <w:tc>
          <w:tcPr>
            <w:tcW w:w="101" w:type="dxa"/>
            <w:tcBorders/>
            <w:vAlign w:val="bottom"/>
          </w:tcPr>
          <w:p>
            <w:pPr>
              <w:pStyle w:val="TableContents"/>
              <w:bidi w:val="0"/>
              <w:spacing w:before="0" w:after="283"/>
              <w:jc w:val="left"/>
              <w:rPr/>
            </w:pPr>
            <w:r>
              <w:rPr/>
              <w:t> </w:t>
            </w:r>
          </w:p>
        </w:tc>
        <w:tc>
          <w:tcPr>
            <w:tcW w:w="3266" w:type="dxa"/>
            <w:tcBorders/>
            <w:vAlign w:val="bottom"/>
          </w:tcPr>
          <w:p>
            <w:pPr>
              <w:pStyle w:val="TableContents"/>
              <w:bidi w:val="0"/>
              <w:spacing w:before="0" w:after="283"/>
              <w:jc w:val="center"/>
              <w:rPr>
                <w:i/>
              </w:rPr>
            </w:pPr>
            <w:r>
              <w:rPr>
                <w:i/>
              </w:rPr>
              <w:t>Jefferies</w:t>
            </w:r>
          </w:p>
        </w:tc>
        <w:tc>
          <w:tcPr>
            <w:tcW w:w="101" w:type="dxa"/>
            <w:tcBorders/>
            <w:vAlign w:val="bottom"/>
          </w:tcPr>
          <w:p>
            <w:pPr>
              <w:pStyle w:val="TableContents"/>
              <w:bidi w:val="0"/>
              <w:spacing w:before="0" w:after="283"/>
              <w:jc w:val="left"/>
              <w:rPr/>
            </w:pPr>
            <w:r>
              <w:rPr/>
              <w:t> </w:t>
            </w:r>
          </w:p>
        </w:tc>
        <w:tc>
          <w:tcPr>
            <w:tcW w:w="3063" w:type="dxa"/>
            <w:tcBorders/>
            <w:vAlign w:val="bottom"/>
          </w:tcPr>
          <w:p>
            <w:pPr>
              <w:pStyle w:val="TableContents"/>
              <w:bidi w:val="0"/>
              <w:spacing w:before="0" w:after="283"/>
              <w:jc w:val="right"/>
              <w:rPr>
                <w:i/>
              </w:rPr>
            </w:pPr>
            <w:r>
              <w:rPr>
                <w:i/>
              </w:rPr>
              <w:t>Evercore ISI</w:t>
            </w:r>
          </w:p>
        </w:tc>
      </w:tr>
    </w:tbl>
    <w:tbl>
      <w:tblPr>
        <w:tblW w:w="5000" w:type="pct"/>
        <w:jc w:val="center"/>
        <w:tblInd w:w="0" w:type="dxa"/>
        <w:tblLayout w:type="fixed"/>
        <w:tblCellMar>
          <w:top w:w="0" w:type="dxa"/>
          <w:left w:w="0" w:type="dxa"/>
          <w:bottom w:w="0" w:type="dxa"/>
          <w:right w:w="0" w:type="dxa"/>
        </w:tblCellMar>
      </w:tblPr>
      <w:tblGrid>
        <w:gridCol w:w="5001"/>
        <w:gridCol w:w="101"/>
        <w:gridCol w:w="5103"/>
      </w:tblGrid>
      <w:tr>
        <w:trPr/>
        <w:tc>
          <w:tcPr>
            <w:tcW w:w="500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10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001" w:type="dxa"/>
            <w:tcBorders/>
            <w:vAlign w:val="center"/>
          </w:tcPr>
          <w:p>
            <w:pPr>
              <w:pStyle w:val="TableContents"/>
              <w:bidi w:val="0"/>
              <w:spacing w:before="0" w:after="283"/>
              <w:jc w:val="left"/>
              <w:rPr>
                <w:sz w:val="4"/>
                <w:szCs w:val="4"/>
              </w:rPr>
            </w:pPr>
            <w:r>
              <w:rPr>
                <w:sz w:val="4"/>
                <w:szCs w:val="4"/>
              </w:rPr>
            </w:r>
          </w:p>
        </w:tc>
        <w:tc>
          <w:tcPr>
            <w:tcW w:w="5204" w:type="dxa"/>
            <w:gridSpan w:val="2"/>
            <w:tcBorders/>
            <w:vAlign w:val="center"/>
          </w:tcPr>
          <w:p>
            <w:pPr>
              <w:pStyle w:val="TableContents"/>
              <w:bidi w:val="0"/>
              <w:spacing w:before="0" w:after="283"/>
              <w:jc w:val="left"/>
              <w:rPr>
                <w:sz w:val="4"/>
                <w:szCs w:val="4"/>
              </w:rPr>
            </w:pPr>
            <w:r>
              <w:rPr>
                <w:sz w:val="4"/>
                <w:szCs w:val="4"/>
              </w:rPr>
            </w:r>
          </w:p>
        </w:tc>
      </w:tr>
      <w:tr>
        <w:trPr/>
        <w:tc>
          <w:tcPr>
            <w:tcW w:w="5001" w:type="dxa"/>
            <w:tcBorders/>
            <w:vAlign w:val="bottom"/>
          </w:tcPr>
          <w:p>
            <w:pPr>
              <w:pStyle w:val="TableContents"/>
              <w:bidi w:val="0"/>
              <w:spacing w:before="0" w:after="283"/>
              <w:jc w:val="left"/>
              <w:rPr>
                <w:i/>
              </w:rPr>
            </w:pPr>
            <w:r>
              <w:rPr>
                <w:i/>
              </w:rPr>
              <w:t>LifeSci Capital</w:t>
            </w:r>
          </w:p>
        </w:tc>
        <w:tc>
          <w:tcPr>
            <w:tcW w:w="101" w:type="dxa"/>
            <w:tcBorders/>
            <w:vAlign w:val="bottom"/>
          </w:tcPr>
          <w:p>
            <w:pPr>
              <w:pStyle w:val="TableContents"/>
              <w:bidi w:val="0"/>
              <w:spacing w:before="0" w:after="283"/>
              <w:jc w:val="left"/>
              <w:rPr/>
            </w:pPr>
            <w:r>
              <w:rPr/>
              <w:t> </w:t>
            </w:r>
          </w:p>
        </w:tc>
        <w:tc>
          <w:tcPr>
            <w:tcW w:w="5103" w:type="dxa"/>
            <w:tcBorders/>
            <w:vAlign w:val="bottom"/>
          </w:tcPr>
          <w:p>
            <w:pPr>
              <w:pStyle w:val="TableContents"/>
              <w:bidi w:val="0"/>
              <w:spacing w:before="0" w:after="283"/>
              <w:jc w:val="right"/>
              <w:rPr>
                <w:i/>
              </w:rPr>
            </w:pPr>
            <w:r>
              <w:rPr>
                <w:i/>
              </w:rPr>
              <w:t>Raymond James</w:t>
            </w:r>
          </w:p>
        </w:tc>
      </w:tr>
    </w:tbl>
    <w:p>
      <w:pPr>
        <w:pStyle w:val="TextBody"/>
        <w:bidi w:val="0"/>
        <w:spacing w:before="240" w:after="0"/>
        <w:ind w:left="960" w:right="960" w:hanging="0"/>
        <w:jc w:val="center"/>
        <w:rPr>
          <w:rFonts w:ascii="Times New Roman" w:hAnsi="Times New Roman"/>
          <w:i/>
          <w:sz w:val="20"/>
        </w:rPr>
      </w:pPr>
      <w:r>
        <w:rPr>
          <w:rFonts w:ascii="Times New Roman" w:hAnsi="Times New Roman"/>
          <w:i/>
          <w:sz w:val="20"/>
        </w:rPr>
        <w:t xml:space="preserve">Lead Manager </w:t>
      </w:r>
    </w:p>
    <w:p>
      <w:pPr>
        <w:pStyle w:val="TextBody"/>
        <w:bidi w:val="0"/>
        <w:spacing w:before="120" w:after="0"/>
        <w:ind w:left="960" w:right="960" w:hanging="0"/>
        <w:jc w:val="center"/>
        <w:rPr>
          <w:rFonts w:ascii="Times New Roman" w:hAnsi="Times New Roman"/>
          <w:i/>
          <w:sz w:val="32"/>
        </w:rPr>
      </w:pPr>
      <w:r>
        <w:rPr>
          <w:rFonts w:ascii="Times New Roman" w:hAnsi="Times New Roman"/>
          <w:i/>
          <w:sz w:val="32"/>
        </w:rPr>
        <w:t xml:space="preserve">Jones </w:t>
      </w:r>
    </w:p>
    <w:p>
      <w:pPr>
        <w:pStyle w:val="TextBody"/>
        <w:bidi w:val="0"/>
        <w:spacing w:before="240" w:after="0"/>
        <w:ind w:left="960" w:right="960" w:hanging="0"/>
        <w:jc w:val="both"/>
        <w:rPr>
          <w:rFonts w:ascii="Times New Roman" w:hAnsi="Times New Roman"/>
          <w:i/>
          <w:sz w:val="20"/>
        </w:rPr>
      </w:pPr>
      <w:r>
        <w:rPr>
          <w:rFonts w:ascii="Times New Roman" w:hAnsi="Times New Roman"/>
          <w:i/>
          <w:sz w:val="20"/>
        </w:rPr>
        <w:t xml:space="preserve">July ,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10230" cy="8738870"/>
                <wp:effectExtent l="0" t="0" r="0" b="0"/>
                <wp:wrapSquare wrapText="right"/>
                <wp:docPr id="2" name="Frame1"/>
                <a:graphic xmlns:a="http://schemas.openxmlformats.org/drawingml/2006/main">
                  <a:graphicData uri="http://schemas.microsoft.com/office/word/2010/wordprocessingShape">
                    <wps:wsp>
                      <wps:cNvSpPr txBox="1"/>
                      <wps:spPr>
                        <a:xfrm>
                          <a:off x="0" y="0"/>
                          <a:ext cx="3110230" cy="8738870"/>
                        </a:xfrm>
                        <a:prstGeom prst="rect"/>
                        <a:solidFill>
                          <a:srgbClr val="FFFFFF"/>
                        </a:solidFill>
                      </wps:spPr>
                      <wps:txbx>
                        <w:txbxContent>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12"/>
                              <w:gridCol w:w="247"/>
                              <w:gridCol w:w="29"/>
                              <w:gridCol w:w="225"/>
                              <w:gridCol w:w="29"/>
                              <w:gridCol w:w="514"/>
                              <w:gridCol w:w="58"/>
                              <w:gridCol w:w="28"/>
                              <w:gridCol w:w="226"/>
                              <w:gridCol w:w="30"/>
                            </w:tblGrid>
                            <w:tr>
                              <w:trPr/>
                              <w:tc>
                                <w:tcPr>
                                  <w:tcW w:w="3512"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514" w:type="dxa"/>
                                  <w:tcBorders/>
                                </w:tcPr>
                                <w:p>
                                  <w:pPr>
                                    <w:pStyle w:val="TableContents"/>
                                    <w:bidi w:val="0"/>
                                    <w:spacing w:before="0" w:after="283"/>
                                    <w:jc w:val="left"/>
                                    <w:rPr>
                                      <w:sz w:val="4"/>
                                      <w:szCs w:val="4"/>
                                    </w:rPr>
                                  </w:pPr>
                                  <w:r>
                                    <w:rPr>
                                      <w:sz w:val="4"/>
                                      <w:szCs w:val="4"/>
                                    </w:rPr>
                                  </w:r>
                                </w:p>
                              </w:tc>
                              <w:tc>
                                <w:tcPr>
                                  <w:tcW w:w="58" w:type="dxa"/>
                                  <w:tcBorders/>
                                </w:tcPr>
                                <w:p>
                                  <w:pPr>
                                    <w:pStyle w:val="TableContents"/>
                                    <w:bidi w:val="0"/>
                                    <w:spacing w:before="0" w:after="283"/>
                                    <w:jc w:val="left"/>
                                    <w:rPr>
                                      <w:sz w:val="4"/>
                                      <w:szCs w:val="4"/>
                                    </w:rPr>
                                  </w:pPr>
                                  <w:r>
                                    <w:rPr>
                                      <w:sz w:val="4"/>
                                      <w:szCs w:val="4"/>
                                    </w:rPr>
                                  </w:r>
                                </w:p>
                              </w:tc>
                              <w:tc>
                                <w:tcPr>
                                  <w:tcW w:w="28" w:type="dxa"/>
                                  <w:tcBorders/>
                                </w:tcPr>
                                <w:p>
                                  <w:pPr>
                                    <w:pStyle w:val="TableContents"/>
                                    <w:bidi w:val="0"/>
                                    <w:spacing w:before="0" w:after="283"/>
                                    <w:jc w:val="left"/>
                                    <w:rPr>
                                      <w:sz w:val="4"/>
                                      <w:szCs w:val="4"/>
                                    </w:rPr>
                                  </w:pPr>
                                  <w:r>
                                    <w:rPr>
                                      <w:sz w:val="4"/>
                                      <w:szCs w:val="4"/>
                                    </w:rPr>
                                  </w:r>
                                </w:p>
                              </w:tc>
                              <w:tc>
                                <w:tcPr>
                                  <w:tcW w:w="226" w:type="dxa"/>
                                  <w:tcBorders/>
                                </w:tcPr>
                                <w:p>
                                  <w:pPr>
                                    <w:pStyle w:val="TableContents"/>
                                    <w:bidi w:val="0"/>
                                    <w:spacing w:before="0" w:after="283"/>
                                    <w:jc w:val="left"/>
                                    <w:rPr>
                                      <w:sz w:val="4"/>
                                      <w:szCs w:val="4"/>
                                    </w:rPr>
                                  </w:pPr>
                                  <w:r>
                                    <w:rPr>
                                      <w:sz w:val="4"/>
                                      <w:szCs w:val="4"/>
                                    </w:rPr>
                                  </w:r>
                                </w:p>
                              </w:tc>
                              <w:tc>
                                <w:tcPr>
                                  <w:tcW w:w="30" w:type="dxa"/>
                                  <w:tcBorders/>
                                </w:tcPr>
                                <w:p>
                                  <w:pPr>
                                    <w:pStyle w:val="TableContents"/>
                                    <w:bidi w:val="0"/>
                                    <w:spacing w:before="0" w:after="283"/>
                                    <w:jc w:val="left"/>
                                    <w:rPr>
                                      <w:sz w:val="4"/>
                                      <w:szCs w:val="4"/>
                                    </w:rPr>
                                  </w:pPr>
                                  <w:r>
                                    <w:rPr>
                                      <w:sz w:val="4"/>
                                      <w:szCs w:val="4"/>
                                    </w:rPr>
                                  </w:r>
                                </w:p>
                              </w:tc>
                            </w:tr>
                            <w:tr>
                              <w:trPr/>
                              <w:tc>
                                <w:tcPr>
                                  <w:tcW w:w="3512"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29" w:type="dxa"/>
                                  <w:tcBorders/>
                                  <w:vAlign w:val="bottom"/>
                                </w:tcPr>
                                <w:p>
                                  <w:pPr>
                                    <w:pStyle w:val="TableContents"/>
                                    <w:bidi w:val="0"/>
                                    <w:spacing w:before="0" w:after="283"/>
                                    <w:jc w:val="left"/>
                                    <w:rPr/>
                                  </w:pPr>
                                  <w:r>
                                    <w:rPr/>
                                    <w:t> </w:t>
                                  </w:r>
                                </w:p>
                              </w:tc>
                              <w:tc>
                                <w:tcPr>
                                  <w:tcW w:w="514" w:type="dxa"/>
                                  <w:tcBorders/>
                                </w:tcPr>
                                <w:p>
                                  <w:pPr>
                                    <w:pStyle w:val="TableContents"/>
                                    <w:bidi w:val="0"/>
                                    <w:spacing w:before="0" w:after="283"/>
                                    <w:jc w:val="left"/>
                                    <w:rPr>
                                      <w:sz w:val="4"/>
                                      <w:szCs w:val="4"/>
                                    </w:rPr>
                                  </w:pPr>
                                  <w:r>
                                    <w:rPr>
                                      <w:sz w:val="4"/>
                                      <w:szCs w:val="4"/>
                                    </w:rPr>
                                  </w:r>
                                </w:p>
                              </w:tc>
                              <w:tc>
                                <w:tcPr>
                                  <w:tcW w:w="58" w:type="dxa"/>
                                  <w:tcBorders/>
                                </w:tcPr>
                                <w:p>
                                  <w:pPr>
                                    <w:pStyle w:val="TableContents"/>
                                    <w:bidi w:val="0"/>
                                    <w:spacing w:before="0" w:after="283"/>
                                    <w:jc w:val="left"/>
                                    <w:rPr>
                                      <w:sz w:val="4"/>
                                      <w:szCs w:val="4"/>
                                    </w:rPr>
                                  </w:pPr>
                                  <w:r>
                                    <w:rPr>
                                      <w:sz w:val="4"/>
                                      <w:szCs w:val="4"/>
                                    </w:rPr>
                                  </w:r>
                                </w:p>
                              </w:tc>
                              <w:tc>
                                <w:tcPr>
                                  <w:tcW w:w="28" w:type="dxa"/>
                                  <w:tcBorders/>
                                </w:tcPr>
                                <w:p>
                                  <w:pPr>
                                    <w:pStyle w:val="TableContents"/>
                                    <w:bidi w:val="0"/>
                                    <w:spacing w:before="0" w:after="283"/>
                                    <w:jc w:val="left"/>
                                    <w:rPr>
                                      <w:sz w:val="4"/>
                                      <w:szCs w:val="4"/>
                                    </w:rPr>
                                  </w:pPr>
                                  <w:r>
                                    <w:rPr>
                                      <w:sz w:val="4"/>
                                      <w:szCs w:val="4"/>
                                    </w:rPr>
                                  </w:r>
                                </w:p>
                              </w:tc>
                              <w:tc>
                                <w:tcPr>
                                  <w:tcW w:w="226" w:type="dxa"/>
                                  <w:tcBorders/>
                                </w:tcPr>
                                <w:p>
                                  <w:pPr>
                                    <w:pStyle w:val="TableContents"/>
                                    <w:bidi w:val="0"/>
                                    <w:spacing w:before="0" w:after="283"/>
                                    <w:jc w:val="left"/>
                                    <w:rPr>
                                      <w:sz w:val="4"/>
                                      <w:szCs w:val="4"/>
                                    </w:rPr>
                                  </w:pPr>
                                  <w:r>
                                    <w:rPr>
                                      <w:sz w:val="4"/>
                                      <w:szCs w:val="4"/>
                                    </w:rPr>
                                  </w:r>
                                </w:p>
                              </w:tc>
                              <w:tc>
                                <w:tcPr>
                                  <w:tcW w:w="30" w:type="dxa"/>
                                  <w:tcBorders/>
                                </w:tcPr>
                                <w:p>
                                  <w:pPr>
                                    <w:pStyle w:val="TableContents"/>
                                    <w:bidi w:val="0"/>
                                    <w:spacing w:before="0" w:after="283"/>
                                    <w:jc w:val="left"/>
                                    <w:rPr>
                                      <w:sz w:val="4"/>
                                      <w:szCs w:val="4"/>
                                    </w:rPr>
                                  </w:pPr>
                                  <w:r>
                                    <w:rPr>
                                      <w:sz w:val="4"/>
                                      <w:szCs w:val="4"/>
                                    </w:rPr>
                                  </w:r>
                                </w:p>
                              </w:tc>
                            </w:tr>
                            <w:tr>
                              <w:trPr/>
                              <w:tc>
                                <w:tcPr>
                                  <w:tcW w:w="3512" w:type="dxa"/>
                                  <w:tcBorders/>
                                  <w:vAlign w:val="bottom"/>
                                </w:tcPr>
                                <w:p>
                                  <w:pPr>
                                    <w:pStyle w:val="TableContents"/>
                                    <w:bidi w:val="0"/>
                                    <w:spacing w:before="0" w:after="0"/>
                                    <w:jc w:val="left"/>
                                    <w:rPr/>
                                  </w:pPr>
                                  <w:hyperlink w:anchor="supptoc98164_1">
                                    <w:r>
                                      <w:rPr>
                                        <w:rStyle w:val="InternetLink"/>
                                        <w:rFonts w:ascii="Times New Roman" w:hAnsi="Times New Roman"/>
                                        <w:sz w:val="20"/>
                                      </w:rPr>
                                      <w:t>About This Prospectus Supplement</w:t>
                                    </w:r>
                                  </w:hyperlink>
                                </w:p>
                              </w:tc>
                              <w:tc>
                                <w:tcPr>
                                  <w:tcW w:w="247"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right"/>
                                    <w:rPr/>
                                  </w:pPr>
                                  <w:r>
                                    <w:rPr/>
                                    <w:t>S-1</w:t>
                                  </w:r>
                                </w:p>
                              </w:tc>
                              <w:tc>
                                <w:tcPr>
                                  <w:tcW w:w="29" w:type="dxa"/>
                                  <w:tcBorders/>
                                  <w:vAlign w:val="bottom"/>
                                </w:tcPr>
                                <w:p>
                                  <w:pPr>
                                    <w:pStyle w:val="TableContents"/>
                                    <w:bidi w:val="0"/>
                                    <w:spacing w:before="0" w:after="283"/>
                                    <w:jc w:val="left"/>
                                    <w:rPr/>
                                  </w:pPr>
                                  <w:r>
                                    <w:rPr/>
                                    <w:t> </w:t>
                                  </w:r>
                                </w:p>
                              </w:tc>
                              <w:tc>
                                <w:tcPr>
                                  <w:tcW w:w="514" w:type="dxa"/>
                                  <w:tcBorders/>
                                </w:tcPr>
                                <w:p>
                                  <w:pPr>
                                    <w:pStyle w:val="TableContents"/>
                                    <w:bidi w:val="0"/>
                                    <w:spacing w:before="0" w:after="283"/>
                                    <w:jc w:val="left"/>
                                    <w:rPr>
                                      <w:sz w:val="4"/>
                                      <w:szCs w:val="4"/>
                                    </w:rPr>
                                  </w:pPr>
                                  <w:r>
                                    <w:rPr>
                                      <w:sz w:val="4"/>
                                      <w:szCs w:val="4"/>
                                    </w:rPr>
                                  </w:r>
                                </w:p>
                              </w:tc>
                              <w:tc>
                                <w:tcPr>
                                  <w:tcW w:w="58" w:type="dxa"/>
                                  <w:tcBorders/>
                                </w:tcPr>
                                <w:p>
                                  <w:pPr>
                                    <w:pStyle w:val="TableContents"/>
                                    <w:bidi w:val="0"/>
                                    <w:spacing w:before="0" w:after="283"/>
                                    <w:jc w:val="left"/>
                                    <w:rPr>
                                      <w:sz w:val="4"/>
                                      <w:szCs w:val="4"/>
                                    </w:rPr>
                                  </w:pPr>
                                  <w:r>
                                    <w:rPr>
                                      <w:sz w:val="4"/>
                                      <w:szCs w:val="4"/>
                                    </w:rPr>
                                  </w:r>
                                </w:p>
                              </w:tc>
                              <w:tc>
                                <w:tcPr>
                                  <w:tcW w:w="28" w:type="dxa"/>
                                  <w:tcBorders/>
                                </w:tcPr>
                                <w:p>
                                  <w:pPr>
                                    <w:pStyle w:val="TableContents"/>
                                    <w:bidi w:val="0"/>
                                    <w:spacing w:before="0" w:after="283"/>
                                    <w:jc w:val="left"/>
                                    <w:rPr>
                                      <w:sz w:val="4"/>
                                      <w:szCs w:val="4"/>
                                    </w:rPr>
                                  </w:pPr>
                                  <w:r>
                                    <w:rPr>
                                      <w:sz w:val="4"/>
                                      <w:szCs w:val="4"/>
                                    </w:rPr>
                                  </w:r>
                                </w:p>
                              </w:tc>
                              <w:tc>
                                <w:tcPr>
                                  <w:tcW w:w="226" w:type="dxa"/>
                                  <w:tcBorders/>
                                </w:tcPr>
                                <w:p>
                                  <w:pPr>
                                    <w:pStyle w:val="TableContents"/>
                                    <w:bidi w:val="0"/>
                                    <w:spacing w:before="0" w:after="283"/>
                                    <w:jc w:val="left"/>
                                    <w:rPr>
                                      <w:sz w:val="4"/>
                                      <w:szCs w:val="4"/>
                                    </w:rPr>
                                  </w:pPr>
                                  <w:r>
                                    <w:rPr>
                                      <w:sz w:val="4"/>
                                      <w:szCs w:val="4"/>
                                    </w:rPr>
                                  </w:r>
                                </w:p>
                              </w:tc>
                              <w:tc>
                                <w:tcPr>
                                  <w:tcW w:w="30" w:type="dxa"/>
                                  <w:tcBorders/>
                                </w:tcPr>
                                <w:p>
                                  <w:pPr>
                                    <w:pStyle w:val="TableContents"/>
                                    <w:bidi w:val="0"/>
                                    <w:spacing w:before="0" w:after="283"/>
                                    <w:jc w:val="left"/>
                                    <w:rPr>
                                      <w:sz w:val="4"/>
                                      <w:szCs w:val="4"/>
                                    </w:rPr>
                                  </w:pPr>
                                  <w:r>
                                    <w:rPr>
                                      <w:sz w:val="4"/>
                                      <w:szCs w:val="4"/>
                                    </w:rPr>
                                  </w:r>
                                </w:p>
                              </w:tc>
                            </w:tr>
                            <w:tr>
                              <w:trPr/>
                              <w:tc>
                                <w:tcPr>
                                  <w:tcW w:w="3512" w:type="dxa"/>
                                  <w:vMerge w:val="restart"/>
                                  <w:tcBorders/>
                                  <w:vAlign w:val="bottom"/>
                                </w:tcPr>
                                <w:p>
                                  <w:pPr>
                                    <w:pStyle w:val="TableContents"/>
                                    <w:bidi w:val="0"/>
                                    <w:spacing w:before="0" w:after="0"/>
                                    <w:jc w:val="left"/>
                                    <w:rPr/>
                                  </w:pPr>
                                  <w:hyperlink w:anchor="supptoc98164_2">
                                    <w:r>
                                      <w:rPr>
                                        <w:rStyle w:val="InternetLink"/>
                                        <w:rFonts w:ascii="Times New Roman" w:hAnsi="Times New Roman"/>
                                        <w:sz w:val="20"/>
                                      </w:rPr>
                                      <w:t>Cautionary Note Regarding Forward-Looking Statements and Industry Data</w:t>
                                    </w:r>
                                  </w:hyperlink>
                                </w:p>
                              </w:tc>
                              <w:tc>
                                <w:tcPr>
                                  <w:tcW w:w="247" w:type="dxa"/>
                                  <w:vMerge w:val="restart"/>
                                  <w:tcBorders/>
                                  <w:vAlign w:val="bottom"/>
                                </w:tcPr>
                                <w:p>
                                  <w:pPr>
                                    <w:pStyle w:val="TableContents"/>
                                    <w:bidi w:val="0"/>
                                    <w:spacing w:before="0" w:after="283"/>
                                    <w:jc w:val="left"/>
                                    <w:rPr/>
                                  </w:pPr>
                                  <w:r>
                                    <w:rPr/>
                                    <w:t>  </w:t>
                                  </w:r>
                                </w:p>
                              </w:tc>
                              <w:tc>
                                <w:tcPr>
                                  <w:tcW w:w="29" w:type="dxa"/>
                                  <w:vMerge w:val="restart"/>
                                  <w:tcBorders/>
                                  <w:vAlign w:val="bottom"/>
                                </w:tcPr>
                                <w:p>
                                  <w:pPr>
                                    <w:pStyle w:val="TableContents"/>
                                    <w:bidi w:val="0"/>
                                    <w:spacing w:before="0" w:after="283"/>
                                    <w:jc w:val="left"/>
                                    <w:rPr/>
                                  </w:pPr>
                                  <w:r>
                                    <w:rPr/>
                                    <w:t> </w:t>
                                  </w:r>
                                </w:p>
                              </w:tc>
                              <w:tc>
                                <w:tcPr>
                                  <w:tcW w:w="225" w:type="dxa"/>
                                  <w:vMerge w:val="restart"/>
                                  <w:tcBorders/>
                                  <w:vAlign w:val="bottom"/>
                                </w:tcPr>
                                <w:p>
                                  <w:pPr>
                                    <w:pStyle w:val="TableContents"/>
                                    <w:bidi w:val="0"/>
                                    <w:spacing w:before="0" w:after="283"/>
                                    <w:jc w:val="right"/>
                                    <w:rPr/>
                                  </w:pPr>
                                  <w:r>
                                    <w:rPr/>
                                    <w:t>S-2</w:t>
                                  </w:r>
                                </w:p>
                              </w:tc>
                              <w:tc>
                                <w:tcPr>
                                  <w:tcW w:w="29" w:type="dxa"/>
                                  <w:vMerge w:val="restart"/>
                                  <w:tcBorders/>
                                  <w:vAlign w:val="bottom"/>
                                </w:tcPr>
                                <w:p>
                                  <w:pPr>
                                    <w:pStyle w:val="TableContents"/>
                                    <w:bidi w:val="0"/>
                                    <w:spacing w:before="0" w:after="283"/>
                                    <w:jc w:val="left"/>
                                    <w:rPr/>
                                  </w:pPr>
                                  <w:r>
                                    <w:rPr/>
                                    <w:t> </w:t>
                                  </w:r>
                                </w:p>
                              </w:tc>
                              <w:tc>
                                <w:tcPr>
                                  <w:tcW w:w="514" w:type="dxa"/>
                                  <w:tcBorders/>
                                </w:tcPr>
                                <w:p>
                                  <w:pPr>
                                    <w:pStyle w:val="TableContents"/>
                                    <w:bidi w:val="0"/>
                                    <w:spacing w:before="0" w:after="283"/>
                                    <w:jc w:val="left"/>
                                    <w:rPr>
                                      <w:sz w:val="4"/>
                                      <w:szCs w:val="4"/>
                                    </w:rPr>
                                  </w:pPr>
                                  <w:r>
                                    <w:rPr>
                                      <w:sz w:val="4"/>
                                      <w:szCs w:val="4"/>
                                    </w:rPr>
                                  </w:r>
                                </w:p>
                              </w:tc>
                              <w:tc>
                                <w:tcPr>
                                  <w:tcW w:w="58" w:type="dxa"/>
                                  <w:tcBorders/>
                                </w:tcPr>
                                <w:p>
                                  <w:pPr>
                                    <w:pStyle w:val="TableContents"/>
                                    <w:bidi w:val="0"/>
                                    <w:spacing w:before="0" w:after="283"/>
                                    <w:jc w:val="left"/>
                                    <w:rPr>
                                      <w:sz w:val="4"/>
                                      <w:szCs w:val="4"/>
                                    </w:rPr>
                                  </w:pPr>
                                  <w:r>
                                    <w:rPr>
                                      <w:sz w:val="4"/>
                                      <w:szCs w:val="4"/>
                                    </w:rPr>
                                  </w:r>
                                </w:p>
                              </w:tc>
                              <w:tc>
                                <w:tcPr>
                                  <w:tcW w:w="28" w:type="dxa"/>
                                  <w:tcBorders/>
                                </w:tcPr>
                                <w:p>
                                  <w:pPr>
                                    <w:pStyle w:val="TableContents"/>
                                    <w:bidi w:val="0"/>
                                    <w:spacing w:before="0" w:after="283"/>
                                    <w:jc w:val="left"/>
                                    <w:rPr>
                                      <w:sz w:val="4"/>
                                      <w:szCs w:val="4"/>
                                    </w:rPr>
                                  </w:pPr>
                                  <w:r>
                                    <w:rPr>
                                      <w:sz w:val="4"/>
                                      <w:szCs w:val="4"/>
                                    </w:rPr>
                                  </w:r>
                                </w:p>
                              </w:tc>
                              <w:tc>
                                <w:tcPr>
                                  <w:tcW w:w="226" w:type="dxa"/>
                                  <w:tcBorders/>
                                </w:tcPr>
                                <w:p>
                                  <w:pPr>
                                    <w:pStyle w:val="TableContents"/>
                                    <w:bidi w:val="0"/>
                                    <w:spacing w:before="0" w:after="283"/>
                                    <w:jc w:val="left"/>
                                    <w:rPr>
                                      <w:sz w:val="4"/>
                                      <w:szCs w:val="4"/>
                                    </w:rPr>
                                  </w:pPr>
                                  <w:r>
                                    <w:rPr>
                                      <w:sz w:val="4"/>
                                      <w:szCs w:val="4"/>
                                    </w:rPr>
                                  </w:r>
                                </w:p>
                              </w:tc>
                              <w:tc>
                                <w:tcPr>
                                  <w:tcW w:w="30" w:type="dxa"/>
                                  <w:tcBorders/>
                                </w:tcPr>
                                <w:p>
                                  <w:pPr>
                                    <w:pStyle w:val="TableContents"/>
                                    <w:bidi w:val="0"/>
                                    <w:spacing w:before="0" w:after="283"/>
                                    <w:jc w:val="left"/>
                                    <w:rPr>
                                      <w:sz w:val="4"/>
                                      <w:szCs w:val="4"/>
                                    </w:rPr>
                                  </w:pPr>
                                  <w:r>
                                    <w:rPr>
                                      <w:sz w:val="4"/>
                                      <w:szCs w:val="4"/>
                                    </w:rPr>
                                  </w:r>
                                </w:p>
                              </w:tc>
                            </w:tr>
                            <w:tr>
                              <w:trPr/>
                              <w:tc>
                                <w:tcPr>
                                  <w:tcW w:w="3512" w:type="dxa"/>
                                  <w:vMerge w:val="continue"/>
                                  <w:tcBorders/>
                                  <w:vAlign w:val="bottom"/>
                                </w:tcPr>
                                <w:p>
                                  <w:pPr>
                                    <w:pStyle w:val="Normal"/>
                                    <w:bidi w:val="0"/>
                                    <w:jc w:val="left"/>
                                    <w:rPr/>
                                  </w:pPr>
                                  <w:r>
                                    <w:rPr/>
                                  </w:r>
                                </w:p>
                              </w:tc>
                              <w:tc>
                                <w:tcPr>
                                  <w:tcW w:w="247" w:type="dxa"/>
                                  <w:vMerge w:val="continue"/>
                                  <w:tcBorders/>
                                  <w:vAlign w:val="bottom"/>
                                </w:tcPr>
                                <w:p>
                                  <w:pPr>
                                    <w:pStyle w:val="Normal"/>
                                    <w:bidi w:val="0"/>
                                    <w:jc w:val="left"/>
                                    <w:rPr/>
                                  </w:pPr>
                                  <w:r>
                                    <w:rPr/>
                                  </w:r>
                                </w:p>
                              </w:tc>
                              <w:tc>
                                <w:tcPr>
                                  <w:tcW w:w="29" w:type="dxa"/>
                                  <w:vMerge w:val="continue"/>
                                  <w:tcBorders/>
                                  <w:vAlign w:val="bottom"/>
                                </w:tcPr>
                                <w:p>
                                  <w:pPr>
                                    <w:pStyle w:val="Normal"/>
                                    <w:bidi w:val="0"/>
                                    <w:jc w:val="left"/>
                                    <w:rPr/>
                                  </w:pPr>
                                  <w:r>
                                    <w:rPr/>
                                  </w:r>
                                </w:p>
                              </w:tc>
                              <w:tc>
                                <w:tcPr>
                                  <w:tcW w:w="225" w:type="dxa"/>
                                  <w:vMerge w:val="continue"/>
                                  <w:tcBorders/>
                                  <w:vAlign w:val="bottom"/>
                                </w:tcPr>
                                <w:p>
                                  <w:pPr>
                                    <w:pStyle w:val="Normal"/>
                                    <w:bidi w:val="0"/>
                                    <w:jc w:val="left"/>
                                    <w:rPr/>
                                  </w:pPr>
                                  <w:r>
                                    <w:rPr/>
                                  </w:r>
                                </w:p>
                              </w:tc>
                              <w:tc>
                                <w:tcPr>
                                  <w:tcW w:w="29" w:type="dxa"/>
                                  <w:vMerge w:val="continue"/>
                                  <w:tcBorders/>
                                  <w:vAlign w:val="bottom"/>
                                </w:tcPr>
                                <w:p>
                                  <w:pPr>
                                    <w:pStyle w:val="Normal"/>
                                    <w:bidi w:val="0"/>
                                    <w:jc w:val="left"/>
                                    <w:rPr/>
                                  </w:pPr>
                                  <w:r>
                                    <w:rPr/>
                                  </w:r>
                                </w:p>
                              </w:tc>
                              <w:tc>
                                <w:tcPr>
                                  <w:tcW w:w="514" w:type="dxa"/>
                                  <w:tcBorders/>
                                  <w:vAlign w:val="bottom"/>
                                </w:tcPr>
                                <w:p>
                                  <w:pPr>
                                    <w:pStyle w:val="TableContents"/>
                                    <w:bidi w:val="0"/>
                                    <w:spacing w:before="0" w:after="0"/>
                                    <w:jc w:val="left"/>
                                    <w:rPr/>
                                  </w:pPr>
                                  <w:hyperlink w:anchor="supptoc98164_3">
                                    <w:r>
                                      <w:rPr>
                                        <w:rStyle w:val="InternetLink"/>
                                        <w:rFonts w:ascii="Times New Roman" w:hAnsi="Times New Roman"/>
                                        <w:sz w:val="20"/>
                                      </w:rPr>
                                      <w:t>Prospectus Supplement Summary</w:t>
                                    </w:r>
                                  </w:hyperlink>
                                </w:p>
                              </w:tc>
                              <w:tc>
                                <w:tcPr>
                                  <w:tcW w:w="58" w:type="dxa"/>
                                  <w:tcBorders/>
                                  <w:vAlign w:val="bottom"/>
                                </w:tcPr>
                                <w:p>
                                  <w:pPr>
                                    <w:pStyle w:val="TableContents"/>
                                    <w:bidi w:val="0"/>
                                    <w:spacing w:before="0" w:after="283"/>
                                    <w:jc w:val="left"/>
                                    <w:rPr/>
                                  </w:pPr>
                                  <w:r>
                                    <w:rPr/>
                                    <w:t>  </w:t>
                                  </w:r>
                                </w:p>
                              </w:tc>
                              <w:tc>
                                <w:tcPr>
                                  <w:tcW w:w="28"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right"/>
                                    <w:rPr/>
                                  </w:pPr>
                                  <w:r>
                                    <w:rPr/>
                                    <w:t>S-4</w:t>
                                  </w:r>
                                </w:p>
                              </w:tc>
                              <w:tc>
                                <w:tcPr>
                                  <w:tcW w:w="30" w:type="dxa"/>
                                  <w:tcBorders/>
                                  <w:vAlign w:val="bottom"/>
                                </w:tcPr>
                                <w:p>
                                  <w:pPr>
                                    <w:pStyle w:val="TableContents"/>
                                    <w:bidi w:val="0"/>
                                    <w:spacing w:before="0" w:after="283"/>
                                    <w:jc w:val="left"/>
                                    <w:rPr/>
                                  </w:pPr>
                                  <w:r>
                                    <w:rPr/>
                                    <w:t> </w:t>
                                  </w:r>
                                </w:p>
                              </w:tc>
                            </w:tr>
                            <w:tr>
                              <w:trPr/>
                              <w:tc>
                                <w:tcPr>
                                  <w:tcW w:w="3512" w:type="dxa"/>
                                  <w:tcBorders/>
                                  <w:vAlign w:val="bottom"/>
                                </w:tcPr>
                                <w:p>
                                  <w:pPr>
                                    <w:pStyle w:val="TableContents"/>
                                    <w:bidi w:val="0"/>
                                    <w:spacing w:before="0" w:after="0"/>
                                    <w:jc w:val="left"/>
                                    <w:rPr/>
                                  </w:pPr>
                                  <w:hyperlink w:anchor="supptoc98164_4">
                                    <w:r>
                                      <w:rPr>
                                        <w:rStyle w:val="InternetLink"/>
                                        <w:rFonts w:ascii="Times New Roman" w:hAnsi="Times New Roman"/>
                                        <w:sz w:val="20"/>
                                      </w:rPr>
                                      <w:t>Risk Factors</w:t>
                                    </w:r>
                                  </w:hyperlink>
                                </w:p>
                              </w:tc>
                              <w:tc>
                                <w:tcPr>
                                  <w:tcW w:w="247"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right"/>
                                    <w:rPr/>
                                  </w:pPr>
                                  <w:r>
                                    <w:rPr/>
                                    <w:t>S-9</w:t>
                                  </w:r>
                                </w:p>
                              </w:tc>
                              <w:tc>
                                <w:tcPr>
                                  <w:tcW w:w="29" w:type="dxa"/>
                                  <w:tcBorders/>
                                  <w:vAlign w:val="bottom"/>
                                </w:tcPr>
                                <w:p>
                                  <w:pPr>
                                    <w:pStyle w:val="TableContents"/>
                                    <w:bidi w:val="0"/>
                                    <w:spacing w:before="0" w:after="283"/>
                                    <w:jc w:val="left"/>
                                    <w:rPr/>
                                  </w:pPr>
                                  <w:r>
                                    <w:rPr/>
                                    <w:t> </w:t>
                                  </w:r>
                                </w:p>
                              </w:tc>
                              <w:tc>
                                <w:tcPr>
                                  <w:tcW w:w="856" w:type="dxa"/>
                                  <w:gridSpan w:val="5"/>
                                  <w:tcBorders/>
                                </w:tcPr>
                                <w:p>
                                  <w:pPr>
                                    <w:pStyle w:val="TableContents"/>
                                    <w:bidi w:val="0"/>
                                    <w:spacing w:before="0" w:after="283"/>
                                    <w:jc w:val="left"/>
                                    <w:rPr>
                                      <w:sz w:val="4"/>
                                      <w:szCs w:val="4"/>
                                    </w:rPr>
                                  </w:pPr>
                                  <w:r>
                                    <w:rPr>
                                      <w:sz w:val="4"/>
                                      <w:szCs w:val="4"/>
                                    </w:rPr>
                                  </w:r>
                                </w:p>
                              </w:tc>
                            </w:tr>
                            <w:tr>
                              <w:trPr/>
                              <w:tc>
                                <w:tcPr>
                                  <w:tcW w:w="3512" w:type="dxa"/>
                                  <w:tcBorders/>
                                  <w:vAlign w:val="bottom"/>
                                </w:tcPr>
                                <w:p>
                                  <w:pPr>
                                    <w:pStyle w:val="TableContents"/>
                                    <w:bidi w:val="0"/>
                                    <w:spacing w:before="0" w:after="0"/>
                                    <w:jc w:val="left"/>
                                    <w:rPr/>
                                  </w:pPr>
                                  <w:hyperlink w:anchor="supptoc98164_5">
                                    <w:r>
                                      <w:rPr>
                                        <w:rStyle w:val="InternetLink"/>
                                        <w:rFonts w:ascii="Times New Roman" w:hAnsi="Times New Roman"/>
                                        <w:sz w:val="20"/>
                                      </w:rPr>
                                      <w:t>Use of Proceeds</w:t>
                                    </w:r>
                                  </w:hyperlink>
                                </w:p>
                              </w:tc>
                              <w:tc>
                                <w:tcPr>
                                  <w:tcW w:w="247"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right"/>
                                    <w:rPr/>
                                  </w:pPr>
                                  <w:r>
                                    <w:rPr/>
                                    <w:t>S-12</w:t>
                                  </w:r>
                                </w:p>
                              </w:tc>
                              <w:tc>
                                <w:tcPr>
                                  <w:tcW w:w="29" w:type="dxa"/>
                                  <w:tcBorders/>
                                  <w:vAlign w:val="bottom"/>
                                </w:tcPr>
                                <w:p>
                                  <w:pPr>
                                    <w:pStyle w:val="TableContents"/>
                                    <w:bidi w:val="0"/>
                                    <w:spacing w:before="0" w:after="283"/>
                                    <w:jc w:val="left"/>
                                    <w:rPr/>
                                  </w:pPr>
                                  <w:r>
                                    <w:rPr/>
                                    <w:t> </w:t>
                                  </w:r>
                                </w:p>
                              </w:tc>
                              <w:tc>
                                <w:tcPr>
                                  <w:tcW w:w="856" w:type="dxa"/>
                                  <w:gridSpan w:val="5"/>
                                  <w:tcBorders/>
                                </w:tcPr>
                                <w:p>
                                  <w:pPr>
                                    <w:pStyle w:val="TableContents"/>
                                    <w:bidi w:val="0"/>
                                    <w:spacing w:before="0" w:after="283"/>
                                    <w:jc w:val="left"/>
                                    <w:rPr>
                                      <w:sz w:val="4"/>
                                      <w:szCs w:val="4"/>
                                    </w:rPr>
                                  </w:pPr>
                                  <w:r>
                                    <w:rPr>
                                      <w:sz w:val="4"/>
                                      <w:szCs w:val="4"/>
                                    </w:rPr>
                                  </w:r>
                                </w:p>
                              </w:tc>
                            </w:tr>
                            <w:tr>
                              <w:trPr/>
                              <w:tc>
                                <w:tcPr>
                                  <w:tcW w:w="3512" w:type="dxa"/>
                                  <w:tcBorders/>
                                  <w:vAlign w:val="bottom"/>
                                </w:tcPr>
                                <w:p>
                                  <w:pPr>
                                    <w:pStyle w:val="TableContents"/>
                                    <w:bidi w:val="0"/>
                                    <w:spacing w:before="0" w:after="0"/>
                                    <w:jc w:val="left"/>
                                    <w:rPr/>
                                  </w:pPr>
                                  <w:hyperlink w:anchor="supptoc98164_6">
                                    <w:r>
                                      <w:rPr>
                                        <w:rStyle w:val="InternetLink"/>
                                        <w:rFonts w:ascii="Times New Roman" w:hAnsi="Times New Roman"/>
                                        <w:sz w:val="20"/>
                                      </w:rPr>
                                      <w:t>Dilution</w:t>
                                    </w:r>
                                  </w:hyperlink>
                                </w:p>
                              </w:tc>
                              <w:tc>
                                <w:tcPr>
                                  <w:tcW w:w="247"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right"/>
                                    <w:rPr/>
                                  </w:pPr>
                                  <w:r>
                                    <w:rPr/>
                                    <w:t>S-13</w:t>
                                  </w:r>
                                </w:p>
                              </w:tc>
                              <w:tc>
                                <w:tcPr>
                                  <w:tcW w:w="29" w:type="dxa"/>
                                  <w:tcBorders/>
                                  <w:vAlign w:val="bottom"/>
                                </w:tcPr>
                                <w:p>
                                  <w:pPr>
                                    <w:pStyle w:val="TableContents"/>
                                    <w:bidi w:val="0"/>
                                    <w:spacing w:before="0" w:after="283"/>
                                    <w:jc w:val="left"/>
                                    <w:rPr/>
                                  </w:pPr>
                                  <w:r>
                                    <w:rPr/>
                                    <w:t> </w:t>
                                  </w:r>
                                </w:p>
                              </w:tc>
                              <w:tc>
                                <w:tcPr>
                                  <w:tcW w:w="856" w:type="dxa"/>
                                  <w:gridSpan w:val="5"/>
                                  <w:tcBorders/>
                                </w:tcPr>
                                <w:p>
                                  <w:pPr>
                                    <w:pStyle w:val="TableContents"/>
                                    <w:bidi w:val="0"/>
                                    <w:spacing w:before="0" w:after="283"/>
                                    <w:jc w:val="left"/>
                                    <w:rPr>
                                      <w:sz w:val="4"/>
                                      <w:szCs w:val="4"/>
                                    </w:rPr>
                                  </w:pPr>
                                  <w:r>
                                    <w:rPr>
                                      <w:sz w:val="4"/>
                                      <w:szCs w:val="4"/>
                                    </w:rPr>
                                  </w:r>
                                </w:p>
                              </w:tc>
                            </w:tr>
                            <w:tr>
                              <w:trPr/>
                              <w:tc>
                                <w:tcPr>
                                  <w:tcW w:w="3512" w:type="dxa"/>
                                  <w:vMerge w:val="restart"/>
                                  <w:tcBorders/>
                                  <w:vAlign w:val="bottom"/>
                                </w:tcPr>
                                <w:p>
                                  <w:pPr>
                                    <w:pStyle w:val="TableContents"/>
                                    <w:bidi w:val="0"/>
                                    <w:spacing w:before="0" w:after="0"/>
                                    <w:jc w:val="left"/>
                                    <w:rPr/>
                                  </w:pPr>
                                  <w:hyperlink w:anchor="supptoc98164_7">
                                    <w:r>
                                      <w:rPr>
                                        <w:rStyle w:val="InternetLink"/>
                                        <w:rFonts w:ascii="Times New Roman" w:hAnsi="Times New Roman"/>
                                        <w:sz w:val="20"/>
                                      </w:rPr>
                                      <w:t>Material U.S. Federal Income Tax Considerations For Non-U.S. Holders of Our Common Stock</w:t>
                                    </w:r>
                                  </w:hyperlink>
                                </w:p>
                              </w:tc>
                              <w:tc>
                                <w:tcPr>
                                  <w:tcW w:w="247" w:type="dxa"/>
                                  <w:vMerge w:val="restart"/>
                                  <w:tcBorders/>
                                  <w:vAlign w:val="bottom"/>
                                </w:tcPr>
                                <w:p>
                                  <w:pPr>
                                    <w:pStyle w:val="TableContents"/>
                                    <w:bidi w:val="0"/>
                                    <w:spacing w:before="0" w:after="283"/>
                                    <w:jc w:val="left"/>
                                    <w:rPr/>
                                  </w:pPr>
                                  <w:r>
                                    <w:rPr/>
                                    <w:t>  </w:t>
                                  </w:r>
                                </w:p>
                              </w:tc>
                              <w:tc>
                                <w:tcPr>
                                  <w:tcW w:w="29" w:type="dxa"/>
                                  <w:vMerge w:val="restart"/>
                                  <w:tcBorders/>
                                  <w:vAlign w:val="bottom"/>
                                </w:tcPr>
                                <w:p>
                                  <w:pPr>
                                    <w:pStyle w:val="TableContents"/>
                                    <w:bidi w:val="0"/>
                                    <w:spacing w:before="0" w:after="283"/>
                                    <w:jc w:val="left"/>
                                    <w:rPr/>
                                  </w:pPr>
                                  <w:r>
                                    <w:rPr/>
                                    <w:t> </w:t>
                                  </w:r>
                                </w:p>
                              </w:tc>
                              <w:tc>
                                <w:tcPr>
                                  <w:tcW w:w="225" w:type="dxa"/>
                                  <w:vMerge w:val="restart"/>
                                  <w:tcBorders/>
                                  <w:vAlign w:val="bottom"/>
                                </w:tcPr>
                                <w:p>
                                  <w:pPr>
                                    <w:pStyle w:val="TableContents"/>
                                    <w:bidi w:val="0"/>
                                    <w:spacing w:before="0" w:after="283"/>
                                    <w:jc w:val="right"/>
                                    <w:rPr/>
                                  </w:pPr>
                                  <w:r>
                                    <w:rPr/>
                                    <w:t>S-15</w:t>
                                  </w:r>
                                </w:p>
                              </w:tc>
                              <w:tc>
                                <w:tcPr>
                                  <w:tcW w:w="29" w:type="dxa"/>
                                  <w:vMerge w:val="restart"/>
                                  <w:tcBorders/>
                                  <w:vAlign w:val="bottom"/>
                                </w:tcPr>
                                <w:p>
                                  <w:pPr>
                                    <w:pStyle w:val="TableContents"/>
                                    <w:bidi w:val="0"/>
                                    <w:spacing w:before="0" w:after="283"/>
                                    <w:jc w:val="left"/>
                                    <w:rPr/>
                                  </w:pPr>
                                  <w:r>
                                    <w:rPr/>
                                    <w:t> </w:t>
                                  </w:r>
                                </w:p>
                              </w:tc>
                              <w:tc>
                                <w:tcPr>
                                  <w:tcW w:w="856" w:type="dxa"/>
                                  <w:gridSpan w:val="5"/>
                                  <w:tcBorders/>
                                </w:tcPr>
                                <w:p>
                                  <w:pPr>
                                    <w:pStyle w:val="TableContents"/>
                                    <w:bidi w:val="0"/>
                                    <w:spacing w:before="0" w:after="283"/>
                                    <w:jc w:val="left"/>
                                    <w:rPr>
                                      <w:sz w:val="4"/>
                                      <w:szCs w:val="4"/>
                                    </w:rPr>
                                  </w:pPr>
                                  <w:r>
                                    <w:rPr>
                                      <w:sz w:val="4"/>
                                      <w:szCs w:val="4"/>
                                    </w:rPr>
                                  </w:r>
                                </w:p>
                              </w:tc>
                            </w:tr>
                            <w:tr>
                              <w:trPr/>
                              <w:tc>
                                <w:tcPr>
                                  <w:tcW w:w="3512" w:type="dxa"/>
                                  <w:vMerge w:val="continue"/>
                                  <w:tcBorders/>
                                  <w:vAlign w:val="bottom"/>
                                </w:tcPr>
                                <w:p>
                                  <w:pPr>
                                    <w:pStyle w:val="Normal"/>
                                    <w:bidi w:val="0"/>
                                    <w:jc w:val="left"/>
                                    <w:rPr/>
                                  </w:pPr>
                                  <w:r>
                                    <w:rPr/>
                                  </w:r>
                                </w:p>
                              </w:tc>
                              <w:tc>
                                <w:tcPr>
                                  <w:tcW w:w="247" w:type="dxa"/>
                                  <w:vMerge w:val="continue"/>
                                  <w:tcBorders/>
                                  <w:vAlign w:val="bottom"/>
                                </w:tcPr>
                                <w:p>
                                  <w:pPr>
                                    <w:pStyle w:val="Normal"/>
                                    <w:bidi w:val="0"/>
                                    <w:jc w:val="left"/>
                                    <w:rPr/>
                                  </w:pPr>
                                  <w:r>
                                    <w:rPr/>
                                  </w:r>
                                </w:p>
                              </w:tc>
                              <w:tc>
                                <w:tcPr>
                                  <w:tcW w:w="29" w:type="dxa"/>
                                  <w:vMerge w:val="continue"/>
                                  <w:tcBorders/>
                                  <w:vAlign w:val="bottom"/>
                                </w:tcPr>
                                <w:p>
                                  <w:pPr>
                                    <w:pStyle w:val="Normal"/>
                                    <w:bidi w:val="0"/>
                                    <w:jc w:val="left"/>
                                    <w:rPr/>
                                  </w:pPr>
                                  <w:r>
                                    <w:rPr/>
                                  </w:r>
                                </w:p>
                              </w:tc>
                              <w:tc>
                                <w:tcPr>
                                  <w:tcW w:w="225" w:type="dxa"/>
                                  <w:vMerge w:val="continue"/>
                                  <w:tcBorders/>
                                  <w:vAlign w:val="bottom"/>
                                </w:tcPr>
                                <w:p>
                                  <w:pPr>
                                    <w:pStyle w:val="Normal"/>
                                    <w:bidi w:val="0"/>
                                    <w:jc w:val="left"/>
                                    <w:rPr/>
                                  </w:pPr>
                                  <w:r>
                                    <w:rPr/>
                                  </w:r>
                                </w:p>
                              </w:tc>
                              <w:tc>
                                <w:tcPr>
                                  <w:tcW w:w="29" w:type="dxa"/>
                                  <w:vMerge w:val="continue"/>
                                  <w:tcBorders/>
                                  <w:vAlign w:val="bottom"/>
                                </w:tcPr>
                                <w:p>
                                  <w:pPr>
                                    <w:pStyle w:val="Normal"/>
                                    <w:bidi w:val="0"/>
                                    <w:jc w:val="left"/>
                                    <w:rPr/>
                                  </w:pPr>
                                  <w:r>
                                    <w:rPr/>
                                  </w:r>
                                </w:p>
                              </w:tc>
                              <w:tc>
                                <w:tcPr>
                                  <w:tcW w:w="514" w:type="dxa"/>
                                  <w:tcBorders/>
                                  <w:vAlign w:val="bottom"/>
                                </w:tcPr>
                                <w:p>
                                  <w:pPr>
                                    <w:pStyle w:val="TableContents"/>
                                    <w:bidi w:val="0"/>
                                    <w:spacing w:before="0" w:after="0"/>
                                    <w:jc w:val="left"/>
                                    <w:rPr/>
                                  </w:pPr>
                                  <w:hyperlink w:anchor="supptoc98164_8">
                                    <w:r>
                                      <w:rPr>
                                        <w:rStyle w:val="InternetLink"/>
                                        <w:rFonts w:ascii="Times New Roman" w:hAnsi="Times New Roman"/>
                                        <w:sz w:val="20"/>
                                      </w:rPr>
                                      <w:t>Underwriters</w:t>
                                    </w:r>
                                  </w:hyperlink>
                                </w:p>
                              </w:tc>
                              <w:tc>
                                <w:tcPr>
                                  <w:tcW w:w="58" w:type="dxa"/>
                                  <w:tcBorders/>
                                  <w:vAlign w:val="bottom"/>
                                </w:tcPr>
                                <w:p>
                                  <w:pPr>
                                    <w:pStyle w:val="TableContents"/>
                                    <w:bidi w:val="0"/>
                                    <w:spacing w:before="0" w:after="283"/>
                                    <w:jc w:val="left"/>
                                    <w:rPr/>
                                  </w:pPr>
                                  <w:r>
                                    <w:rPr/>
                                    <w:t>  </w:t>
                                  </w:r>
                                </w:p>
                              </w:tc>
                              <w:tc>
                                <w:tcPr>
                                  <w:tcW w:w="28"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right"/>
                                    <w:rPr/>
                                  </w:pPr>
                                  <w:r>
                                    <w:rPr/>
                                    <w:t>S-19</w:t>
                                  </w:r>
                                </w:p>
                              </w:tc>
                              <w:tc>
                                <w:tcPr>
                                  <w:tcW w:w="30" w:type="dxa"/>
                                  <w:tcBorders/>
                                  <w:vAlign w:val="bottom"/>
                                </w:tcPr>
                                <w:p>
                                  <w:pPr>
                                    <w:pStyle w:val="TableContents"/>
                                    <w:bidi w:val="0"/>
                                    <w:spacing w:before="0" w:after="283"/>
                                    <w:jc w:val="left"/>
                                    <w:rPr/>
                                  </w:pPr>
                                  <w:r>
                                    <w:rPr/>
                                    <w:t> </w:t>
                                  </w:r>
                                </w:p>
                              </w:tc>
                            </w:tr>
                            <w:tr>
                              <w:trPr/>
                              <w:tc>
                                <w:tcPr>
                                  <w:tcW w:w="3512" w:type="dxa"/>
                                  <w:tcBorders/>
                                  <w:vAlign w:val="bottom"/>
                                </w:tcPr>
                                <w:p>
                                  <w:pPr>
                                    <w:pStyle w:val="TableContents"/>
                                    <w:bidi w:val="0"/>
                                    <w:spacing w:before="0" w:after="0"/>
                                    <w:jc w:val="left"/>
                                    <w:rPr/>
                                  </w:pPr>
                                  <w:hyperlink w:anchor="supptoc98164_9">
                                    <w:r>
                                      <w:rPr>
                                        <w:rStyle w:val="InternetLink"/>
                                        <w:rFonts w:ascii="Times New Roman" w:hAnsi="Times New Roman"/>
                                        <w:sz w:val="20"/>
                                      </w:rPr>
                                      <w:t>Legal Matters</w:t>
                                    </w:r>
                                  </w:hyperlink>
                                </w:p>
                              </w:tc>
                              <w:tc>
                                <w:tcPr>
                                  <w:tcW w:w="247"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right"/>
                                    <w:rPr/>
                                  </w:pPr>
                                  <w:r>
                                    <w:rPr/>
                                    <w:t>S-29</w:t>
                                  </w:r>
                                </w:p>
                              </w:tc>
                              <w:tc>
                                <w:tcPr>
                                  <w:tcW w:w="29" w:type="dxa"/>
                                  <w:tcBorders/>
                                  <w:vAlign w:val="bottom"/>
                                </w:tcPr>
                                <w:p>
                                  <w:pPr>
                                    <w:pStyle w:val="TableContents"/>
                                    <w:bidi w:val="0"/>
                                    <w:spacing w:before="0" w:after="283"/>
                                    <w:jc w:val="left"/>
                                    <w:rPr/>
                                  </w:pPr>
                                  <w:r>
                                    <w:rPr/>
                                    <w:t> </w:t>
                                  </w:r>
                                </w:p>
                              </w:tc>
                              <w:tc>
                                <w:tcPr>
                                  <w:tcW w:w="856" w:type="dxa"/>
                                  <w:gridSpan w:val="5"/>
                                  <w:tcBorders/>
                                </w:tcPr>
                                <w:p>
                                  <w:pPr>
                                    <w:pStyle w:val="TableContents"/>
                                    <w:bidi w:val="0"/>
                                    <w:spacing w:before="0" w:after="283"/>
                                    <w:jc w:val="left"/>
                                    <w:rPr>
                                      <w:sz w:val="4"/>
                                      <w:szCs w:val="4"/>
                                    </w:rPr>
                                  </w:pPr>
                                  <w:r>
                                    <w:rPr>
                                      <w:sz w:val="4"/>
                                      <w:szCs w:val="4"/>
                                    </w:rPr>
                                  </w:r>
                                </w:p>
                              </w:tc>
                            </w:tr>
                            <w:tr>
                              <w:trPr/>
                              <w:tc>
                                <w:tcPr>
                                  <w:tcW w:w="3512" w:type="dxa"/>
                                  <w:tcBorders/>
                                  <w:vAlign w:val="bottom"/>
                                </w:tcPr>
                                <w:p>
                                  <w:pPr>
                                    <w:pStyle w:val="TableContents"/>
                                    <w:bidi w:val="0"/>
                                    <w:spacing w:before="0" w:after="0"/>
                                    <w:jc w:val="left"/>
                                    <w:rPr/>
                                  </w:pPr>
                                  <w:hyperlink w:anchor="supptoc98164_10">
                                    <w:r>
                                      <w:rPr>
                                        <w:rStyle w:val="InternetLink"/>
                                        <w:rFonts w:ascii="Times New Roman" w:hAnsi="Times New Roman"/>
                                        <w:sz w:val="20"/>
                                      </w:rPr>
                                      <w:t>Experts</w:t>
                                    </w:r>
                                  </w:hyperlink>
                                </w:p>
                              </w:tc>
                              <w:tc>
                                <w:tcPr>
                                  <w:tcW w:w="247"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right"/>
                                    <w:rPr/>
                                  </w:pPr>
                                  <w:r>
                                    <w:rPr/>
                                    <w:t>S-29</w:t>
                                  </w:r>
                                </w:p>
                              </w:tc>
                              <w:tc>
                                <w:tcPr>
                                  <w:tcW w:w="29" w:type="dxa"/>
                                  <w:tcBorders/>
                                  <w:vAlign w:val="bottom"/>
                                </w:tcPr>
                                <w:p>
                                  <w:pPr>
                                    <w:pStyle w:val="TableContents"/>
                                    <w:bidi w:val="0"/>
                                    <w:spacing w:before="0" w:after="283"/>
                                    <w:jc w:val="left"/>
                                    <w:rPr/>
                                  </w:pPr>
                                  <w:r>
                                    <w:rPr/>
                                    <w:t> </w:t>
                                  </w:r>
                                </w:p>
                              </w:tc>
                              <w:tc>
                                <w:tcPr>
                                  <w:tcW w:w="856" w:type="dxa"/>
                                  <w:gridSpan w:val="5"/>
                                  <w:tcBorders/>
                                </w:tcPr>
                                <w:p>
                                  <w:pPr>
                                    <w:pStyle w:val="TableContents"/>
                                    <w:bidi w:val="0"/>
                                    <w:spacing w:before="0" w:after="283"/>
                                    <w:jc w:val="left"/>
                                    <w:rPr>
                                      <w:sz w:val="4"/>
                                      <w:szCs w:val="4"/>
                                    </w:rPr>
                                  </w:pPr>
                                  <w:r>
                                    <w:rPr>
                                      <w:sz w:val="4"/>
                                      <w:szCs w:val="4"/>
                                    </w:rPr>
                                  </w:r>
                                </w:p>
                              </w:tc>
                            </w:tr>
                            <w:tr>
                              <w:trPr/>
                              <w:tc>
                                <w:tcPr>
                                  <w:tcW w:w="3512" w:type="dxa"/>
                                  <w:tcBorders/>
                                  <w:vAlign w:val="bottom"/>
                                </w:tcPr>
                                <w:p>
                                  <w:pPr>
                                    <w:pStyle w:val="TableContents"/>
                                    <w:bidi w:val="0"/>
                                    <w:spacing w:before="0" w:after="0"/>
                                    <w:jc w:val="left"/>
                                    <w:rPr/>
                                  </w:pPr>
                                  <w:hyperlink w:anchor="supptoc98164_11">
                                    <w:r>
                                      <w:rPr>
                                        <w:rStyle w:val="InternetLink"/>
                                        <w:rFonts w:ascii="Times New Roman" w:hAnsi="Times New Roman"/>
                                        <w:sz w:val="20"/>
                                      </w:rPr>
                                      <w:t>Where You Can Find More Information</w:t>
                                    </w:r>
                                  </w:hyperlink>
                                </w:p>
                              </w:tc>
                              <w:tc>
                                <w:tcPr>
                                  <w:tcW w:w="247"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right"/>
                                    <w:rPr/>
                                  </w:pPr>
                                  <w:r>
                                    <w:rPr/>
                                    <w:t>S-30</w:t>
                                  </w:r>
                                </w:p>
                              </w:tc>
                              <w:tc>
                                <w:tcPr>
                                  <w:tcW w:w="29" w:type="dxa"/>
                                  <w:tcBorders/>
                                  <w:vAlign w:val="bottom"/>
                                </w:tcPr>
                                <w:p>
                                  <w:pPr>
                                    <w:pStyle w:val="TableContents"/>
                                    <w:bidi w:val="0"/>
                                    <w:spacing w:before="0" w:after="283"/>
                                    <w:jc w:val="left"/>
                                    <w:rPr/>
                                  </w:pPr>
                                  <w:r>
                                    <w:rPr/>
                                    <w:t> </w:t>
                                  </w:r>
                                </w:p>
                              </w:tc>
                              <w:tc>
                                <w:tcPr>
                                  <w:tcW w:w="856" w:type="dxa"/>
                                  <w:gridSpan w:val="5"/>
                                  <w:tcBorders/>
                                </w:tcPr>
                                <w:p>
                                  <w:pPr>
                                    <w:pStyle w:val="TableContents"/>
                                    <w:bidi w:val="0"/>
                                    <w:spacing w:before="0" w:after="283"/>
                                    <w:jc w:val="left"/>
                                    <w:rPr>
                                      <w:sz w:val="4"/>
                                      <w:szCs w:val="4"/>
                                    </w:rPr>
                                  </w:pPr>
                                  <w:r>
                                    <w:rPr>
                                      <w:sz w:val="4"/>
                                      <w:szCs w:val="4"/>
                                    </w:rPr>
                                  </w:r>
                                </w:p>
                              </w:tc>
                            </w:tr>
                            <w:tr>
                              <w:trPr/>
                              <w:tc>
                                <w:tcPr>
                                  <w:tcW w:w="3512" w:type="dxa"/>
                                  <w:tcBorders/>
                                  <w:vAlign w:val="bottom"/>
                                </w:tcPr>
                                <w:p>
                                  <w:pPr>
                                    <w:pStyle w:val="TableContents"/>
                                    <w:bidi w:val="0"/>
                                    <w:spacing w:before="0" w:after="0"/>
                                    <w:jc w:val="left"/>
                                    <w:rPr/>
                                  </w:pPr>
                                  <w:hyperlink w:anchor="supptoc98164_12">
                                    <w:r>
                                      <w:rPr>
                                        <w:rStyle w:val="InternetLink"/>
                                        <w:rFonts w:ascii="Times New Roman" w:hAnsi="Times New Roman"/>
                                        <w:sz w:val="20"/>
                                      </w:rPr>
                                      <w:t>Incorporation of Certain Information by Reference</w:t>
                                    </w:r>
                                  </w:hyperlink>
                                </w:p>
                              </w:tc>
                              <w:tc>
                                <w:tcPr>
                                  <w:tcW w:w="247"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right"/>
                                    <w:rPr/>
                                  </w:pPr>
                                  <w:r>
                                    <w:rPr/>
                                    <w:t>S-30</w:t>
                                  </w:r>
                                </w:p>
                              </w:tc>
                              <w:tc>
                                <w:tcPr>
                                  <w:tcW w:w="29" w:type="dxa"/>
                                  <w:tcBorders/>
                                  <w:vAlign w:val="bottom"/>
                                </w:tcPr>
                                <w:p>
                                  <w:pPr>
                                    <w:pStyle w:val="TableContents"/>
                                    <w:bidi w:val="0"/>
                                    <w:spacing w:before="0" w:after="283"/>
                                    <w:jc w:val="left"/>
                                    <w:rPr/>
                                  </w:pPr>
                                  <w:r>
                                    <w:rPr/>
                                    <w:t> </w:t>
                                  </w:r>
                                </w:p>
                              </w:tc>
                              <w:tc>
                                <w:tcPr>
                                  <w:tcW w:w="856" w:type="dxa"/>
                                  <w:gridSpan w:val="5"/>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88.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12"/>
                        <w:gridCol w:w="247"/>
                        <w:gridCol w:w="29"/>
                        <w:gridCol w:w="225"/>
                        <w:gridCol w:w="29"/>
                        <w:gridCol w:w="514"/>
                        <w:gridCol w:w="58"/>
                        <w:gridCol w:w="28"/>
                        <w:gridCol w:w="226"/>
                        <w:gridCol w:w="30"/>
                      </w:tblGrid>
                      <w:tr>
                        <w:trPr/>
                        <w:tc>
                          <w:tcPr>
                            <w:tcW w:w="3512"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514" w:type="dxa"/>
                            <w:tcBorders/>
                          </w:tcPr>
                          <w:p>
                            <w:pPr>
                              <w:pStyle w:val="TableContents"/>
                              <w:bidi w:val="0"/>
                              <w:spacing w:before="0" w:after="283"/>
                              <w:jc w:val="left"/>
                              <w:rPr>
                                <w:sz w:val="4"/>
                                <w:szCs w:val="4"/>
                              </w:rPr>
                            </w:pPr>
                            <w:r>
                              <w:rPr>
                                <w:sz w:val="4"/>
                                <w:szCs w:val="4"/>
                              </w:rPr>
                            </w:r>
                          </w:p>
                        </w:tc>
                        <w:tc>
                          <w:tcPr>
                            <w:tcW w:w="58" w:type="dxa"/>
                            <w:tcBorders/>
                          </w:tcPr>
                          <w:p>
                            <w:pPr>
                              <w:pStyle w:val="TableContents"/>
                              <w:bidi w:val="0"/>
                              <w:spacing w:before="0" w:after="283"/>
                              <w:jc w:val="left"/>
                              <w:rPr>
                                <w:sz w:val="4"/>
                                <w:szCs w:val="4"/>
                              </w:rPr>
                            </w:pPr>
                            <w:r>
                              <w:rPr>
                                <w:sz w:val="4"/>
                                <w:szCs w:val="4"/>
                              </w:rPr>
                            </w:r>
                          </w:p>
                        </w:tc>
                        <w:tc>
                          <w:tcPr>
                            <w:tcW w:w="28" w:type="dxa"/>
                            <w:tcBorders/>
                          </w:tcPr>
                          <w:p>
                            <w:pPr>
                              <w:pStyle w:val="TableContents"/>
                              <w:bidi w:val="0"/>
                              <w:spacing w:before="0" w:after="283"/>
                              <w:jc w:val="left"/>
                              <w:rPr>
                                <w:sz w:val="4"/>
                                <w:szCs w:val="4"/>
                              </w:rPr>
                            </w:pPr>
                            <w:r>
                              <w:rPr>
                                <w:sz w:val="4"/>
                                <w:szCs w:val="4"/>
                              </w:rPr>
                            </w:r>
                          </w:p>
                        </w:tc>
                        <w:tc>
                          <w:tcPr>
                            <w:tcW w:w="226" w:type="dxa"/>
                            <w:tcBorders/>
                          </w:tcPr>
                          <w:p>
                            <w:pPr>
                              <w:pStyle w:val="TableContents"/>
                              <w:bidi w:val="0"/>
                              <w:spacing w:before="0" w:after="283"/>
                              <w:jc w:val="left"/>
                              <w:rPr>
                                <w:sz w:val="4"/>
                                <w:szCs w:val="4"/>
                              </w:rPr>
                            </w:pPr>
                            <w:r>
                              <w:rPr>
                                <w:sz w:val="4"/>
                                <w:szCs w:val="4"/>
                              </w:rPr>
                            </w:r>
                          </w:p>
                        </w:tc>
                        <w:tc>
                          <w:tcPr>
                            <w:tcW w:w="30" w:type="dxa"/>
                            <w:tcBorders/>
                          </w:tcPr>
                          <w:p>
                            <w:pPr>
                              <w:pStyle w:val="TableContents"/>
                              <w:bidi w:val="0"/>
                              <w:spacing w:before="0" w:after="283"/>
                              <w:jc w:val="left"/>
                              <w:rPr>
                                <w:sz w:val="4"/>
                                <w:szCs w:val="4"/>
                              </w:rPr>
                            </w:pPr>
                            <w:r>
                              <w:rPr>
                                <w:sz w:val="4"/>
                                <w:szCs w:val="4"/>
                              </w:rPr>
                            </w:r>
                          </w:p>
                        </w:tc>
                      </w:tr>
                      <w:tr>
                        <w:trPr/>
                        <w:tc>
                          <w:tcPr>
                            <w:tcW w:w="3512"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29" w:type="dxa"/>
                            <w:tcBorders/>
                            <w:vAlign w:val="bottom"/>
                          </w:tcPr>
                          <w:p>
                            <w:pPr>
                              <w:pStyle w:val="TableContents"/>
                              <w:bidi w:val="0"/>
                              <w:spacing w:before="0" w:after="283"/>
                              <w:jc w:val="left"/>
                              <w:rPr/>
                            </w:pPr>
                            <w:r>
                              <w:rPr/>
                              <w:t> </w:t>
                            </w:r>
                          </w:p>
                        </w:tc>
                        <w:tc>
                          <w:tcPr>
                            <w:tcW w:w="514" w:type="dxa"/>
                            <w:tcBorders/>
                          </w:tcPr>
                          <w:p>
                            <w:pPr>
                              <w:pStyle w:val="TableContents"/>
                              <w:bidi w:val="0"/>
                              <w:spacing w:before="0" w:after="283"/>
                              <w:jc w:val="left"/>
                              <w:rPr>
                                <w:sz w:val="4"/>
                                <w:szCs w:val="4"/>
                              </w:rPr>
                            </w:pPr>
                            <w:r>
                              <w:rPr>
                                <w:sz w:val="4"/>
                                <w:szCs w:val="4"/>
                              </w:rPr>
                            </w:r>
                          </w:p>
                        </w:tc>
                        <w:tc>
                          <w:tcPr>
                            <w:tcW w:w="58" w:type="dxa"/>
                            <w:tcBorders/>
                          </w:tcPr>
                          <w:p>
                            <w:pPr>
                              <w:pStyle w:val="TableContents"/>
                              <w:bidi w:val="0"/>
                              <w:spacing w:before="0" w:after="283"/>
                              <w:jc w:val="left"/>
                              <w:rPr>
                                <w:sz w:val="4"/>
                                <w:szCs w:val="4"/>
                              </w:rPr>
                            </w:pPr>
                            <w:r>
                              <w:rPr>
                                <w:sz w:val="4"/>
                                <w:szCs w:val="4"/>
                              </w:rPr>
                            </w:r>
                          </w:p>
                        </w:tc>
                        <w:tc>
                          <w:tcPr>
                            <w:tcW w:w="28" w:type="dxa"/>
                            <w:tcBorders/>
                          </w:tcPr>
                          <w:p>
                            <w:pPr>
                              <w:pStyle w:val="TableContents"/>
                              <w:bidi w:val="0"/>
                              <w:spacing w:before="0" w:after="283"/>
                              <w:jc w:val="left"/>
                              <w:rPr>
                                <w:sz w:val="4"/>
                                <w:szCs w:val="4"/>
                              </w:rPr>
                            </w:pPr>
                            <w:r>
                              <w:rPr>
                                <w:sz w:val="4"/>
                                <w:szCs w:val="4"/>
                              </w:rPr>
                            </w:r>
                          </w:p>
                        </w:tc>
                        <w:tc>
                          <w:tcPr>
                            <w:tcW w:w="226" w:type="dxa"/>
                            <w:tcBorders/>
                          </w:tcPr>
                          <w:p>
                            <w:pPr>
                              <w:pStyle w:val="TableContents"/>
                              <w:bidi w:val="0"/>
                              <w:spacing w:before="0" w:after="283"/>
                              <w:jc w:val="left"/>
                              <w:rPr>
                                <w:sz w:val="4"/>
                                <w:szCs w:val="4"/>
                              </w:rPr>
                            </w:pPr>
                            <w:r>
                              <w:rPr>
                                <w:sz w:val="4"/>
                                <w:szCs w:val="4"/>
                              </w:rPr>
                            </w:r>
                          </w:p>
                        </w:tc>
                        <w:tc>
                          <w:tcPr>
                            <w:tcW w:w="30" w:type="dxa"/>
                            <w:tcBorders/>
                          </w:tcPr>
                          <w:p>
                            <w:pPr>
                              <w:pStyle w:val="TableContents"/>
                              <w:bidi w:val="0"/>
                              <w:spacing w:before="0" w:after="283"/>
                              <w:jc w:val="left"/>
                              <w:rPr>
                                <w:sz w:val="4"/>
                                <w:szCs w:val="4"/>
                              </w:rPr>
                            </w:pPr>
                            <w:r>
                              <w:rPr>
                                <w:sz w:val="4"/>
                                <w:szCs w:val="4"/>
                              </w:rPr>
                            </w:r>
                          </w:p>
                        </w:tc>
                      </w:tr>
                      <w:tr>
                        <w:trPr/>
                        <w:tc>
                          <w:tcPr>
                            <w:tcW w:w="3512" w:type="dxa"/>
                            <w:tcBorders/>
                            <w:vAlign w:val="bottom"/>
                          </w:tcPr>
                          <w:p>
                            <w:pPr>
                              <w:pStyle w:val="TableContents"/>
                              <w:bidi w:val="0"/>
                              <w:spacing w:before="0" w:after="0"/>
                              <w:jc w:val="left"/>
                              <w:rPr/>
                            </w:pPr>
                            <w:hyperlink w:anchor="supptoc98164_1">
                              <w:r>
                                <w:rPr>
                                  <w:rStyle w:val="InternetLink"/>
                                  <w:rFonts w:ascii="Times New Roman" w:hAnsi="Times New Roman"/>
                                  <w:sz w:val="20"/>
                                </w:rPr>
                                <w:t>About This Prospectus Supplement</w:t>
                              </w:r>
                            </w:hyperlink>
                          </w:p>
                        </w:tc>
                        <w:tc>
                          <w:tcPr>
                            <w:tcW w:w="247"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right"/>
                              <w:rPr/>
                            </w:pPr>
                            <w:r>
                              <w:rPr/>
                              <w:t>S-1</w:t>
                            </w:r>
                          </w:p>
                        </w:tc>
                        <w:tc>
                          <w:tcPr>
                            <w:tcW w:w="29" w:type="dxa"/>
                            <w:tcBorders/>
                            <w:vAlign w:val="bottom"/>
                          </w:tcPr>
                          <w:p>
                            <w:pPr>
                              <w:pStyle w:val="TableContents"/>
                              <w:bidi w:val="0"/>
                              <w:spacing w:before="0" w:after="283"/>
                              <w:jc w:val="left"/>
                              <w:rPr/>
                            </w:pPr>
                            <w:r>
                              <w:rPr/>
                              <w:t> </w:t>
                            </w:r>
                          </w:p>
                        </w:tc>
                        <w:tc>
                          <w:tcPr>
                            <w:tcW w:w="514" w:type="dxa"/>
                            <w:tcBorders/>
                          </w:tcPr>
                          <w:p>
                            <w:pPr>
                              <w:pStyle w:val="TableContents"/>
                              <w:bidi w:val="0"/>
                              <w:spacing w:before="0" w:after="283"/>
                              <w:jc w:val="left"/>
                              <w:rPr>
                                <w:sz w:val="4"/>
                                <w:szCs w:val="4"/>
                              </w:rPr>
                            </w:pPr>
                            <w:r>
                              <w:rPr>
                                <w:sz w:val="4"/>
                                <w:szCs w:val="4"/>
                              </w:rPr>
                            </w:r>
                          </w:p>
                        </w:tc>
                        <w:tc>
                          <w:tcPr>
                            <w:tcW w:w="58" w:type="dxa"/>
                            <w:tcBorders/>
                          </w:tcPr>
                          <w:p>
                            <w:pPr>
                              <w:pStyle w:val="TableContents"/>
                              <w:bidi w:val="0"/>
                              <w:spacing w:before="0" w:after="283"/>
                              <w:jc w:val="left"/>
                              <w:rPr>
                                <w:sz w:val="4"/>
                                <w:szCs w:val="4"/>
                              </w:rPr>
                            </w:pPr>
                            <w:r>
                              <w:rPr>
                                <w:sz w:val="4"/>
                                <w:szCs w:val="4"/>
                              </w:rPr>
                            </w:r>
                          </w:p>
                        </w:tc>
                        <w:tc>
                          <w:tcPr>
                            <w:tcW w:w="28" w:type="dxa"/>
                            <w:tcBorders/>
                          </w:tcPr>
                          <w:p>
                            <w:pPr>
                              <w:pStyle w:val="TableContents"/>
                              <w:bidi w:val="0"/>
                              <w:spacing w:before="0" w:after="283"/>
                              <w:jc w:val="left"/>
                              <w:rPr>
                                <w:sz w:val="4"/>
                                <w:szCs w:val="4"/>
                              </w:rPr>
                            </w:pPr>
                            <w:r>
                              <w:rPr>
                                <w:sz w:val="4"/>
                                <w:szCs w:val="4"/>
                              </w:rPr>
                            </w:r>
                          </w:p>
                        </w:tc>
                        <w:tc>
                          <w:tcPr>
                            <w:tcW w:w="226" w:type="dxa"/>
                            <w:tcBorders/>
                          </w:tcPr>
                          <w:p>
                            <w:pPr>
                              <w:pStyle w:val="TableContents"/>
                              <w:bidi w:val="0"/>
                              <w:spacing w:before="0" w:after="283"/>
                              <w:jc w:val="left"/>
                              <w:rPr>
                                <w:sz w:val="4"/>
                                <w:szCs w:val="4"/>
                              </w:rPr>
                            </w:pPr>
                            <w:r>
                              <w:rPr>
                                <w:sz w:val="4"/>
                                <w:szCs w:val="4"/>
                              </w:rPr>
                            </w:r>
                          </w:p>
                        </w:tc>
                        <w:tc>
                          <w:tcPr>
                            <w:tcW w:w="30" w:type="dxa"/>
                            <w:tcBorders/>
                          </w:tcPr>
                          <w:p>
                            <w:pPr>
                              <w:pStyle w:val="TableContents"/>
                              <w:bidi w:val="0"/>
                              <w:spacing w:before="0" w:after="283"/>
                              <w:jc w:val="left"/>
                              <w:rPr>
                                <w:sz w:val="4"/>
                                <w:szCs w:val="4"/>
                              </w:rPr>
                            </w:pPr>
                            <w:r>
                              <w:rPr>
                                <w:sz w:val="4"/>
                                <w:szCs w:val="4"/>
                              </w:rPr>
                            </w:r>
                          </w:p>
                        </w:tc>
                      </w:tr>
                      <w:tr>
                        <w:trPr/>
                        <w:tc>
                          <w:tcPr>
                            <w:tcW w:w="3512" w:type="dxa"/>
                            <w:vMerge w:val="restart"/>
                            <w:tcBorders/>
                            <w:vAlign w:val="bottom"/>
                          </w:tcPr>
                          <w:p>
                            <w:pPr>
                              <w:pStyle w:val="TableContents"/>
                              <w:bidi w:val="0"/>
                              <w:spacing w:before="0" w:after="0"/>
                              <w:jc w:val="left"/>
                              <w:rPr/>
                            </w:pPr>
                            <w:hyperlink w:anchor="supptoc98164_2">
                              <w:r>
                                <w:rPr>
                                  <w:rStyle w:val="InternetLink"/>
                                  <w:rFonts w:ascii="Times New Roman" w:hAnsi="Times New Roman"/>
                                  <w:sz w:val="20"/>
                                </w:rPr>
                                <w:t>Cautionary Note Regarding Forward-Looking Statements and Industry Data</w:t>
                              </w:r>
                            </w:hyperlink>
                          </w:p>
                        </w:tc>
                        <w:tc>
                          <w:tcPr>
                            <w:tcW w:w="247" w:type="dxa"/>
                            <w:vMerge w:val="restart"/>
                            <w:tcBorders/>
                            <w:vAlign w:val="bottom"/>
                          </w:tcPr>
                          <w:p>
                            <w:pPr>
                              <w:pStyle w:val="TableContents"/>
                              <w:bidi w:val="0"/>
                              <w:spacing w:before="0" w:after="283"/>
                              <w:jc w:val="left"/>
                              <w:rPr/>
                            </w:pPr>
                            <w:r>
                              <w:rPr/>
                              <w:t>  </w:t>
                            </w:r>
                          </w:p>
                        </w:tc>
                        <w:tc>
                          <w:tcPr>
                            <w:tcW w:w="29" w:type="dxa"/>
                            <w:vMerge w:val="restart"/>
                            <w:tcBorders/>
                            <w:vAlign w:val="bottom"/>
                          </w:tcPr>
                          <w:p>
                            <w:pPr>
                              <w:pStyle w:val="TableContents"/>
                              <w:bidi w:val="0"/>
                              <w:spacing w:before="0" w:after="283"/>
                              <w:jc w:val="left"/>
                              <w:rPr/>
                            </w:pPr>
                            <w:r>
                              <w:rPr/>
                              <w:t> </w:t>
                            </w:r>
                          </w:p>
                        </w:tc>
                        <w:tc>
                          <w:tcPr>
                            <w:tcW w:w="225" w:type="dxa"/>
                            <w:vMerge w:val="restart"/>
                            <w:tcBorders/>
                            <w:vAlign w:val="bottom"/>
                          </w:tcPr>
                          <w:p>
                            <w:pPr>
                              <w:pStyle w:val="TableContents"/>
                              <w:bidi w:val="0"/>
                              <w:spacing w:before="0" w:after="283"/>
                              <w:jc w:val="right"/>
                              <w:rPr/>
                            </w:pPr>
                            <w:r>
                              <w:rPr/>
                              <w:t>S-2</w:t>
                            </w:r>
                          </w:p>
                        </w:tc>
                        <w:tc>
                          <w:tcPr>
                            <w:tcW w:w="29" w:type="dxa"/>
                            <w:vMerge w:val="restart"/>
                            <w:tcBorders/>
                            <w:vAlign w:val="bottom"/>
                          </w:tcPr>
                          <w:p>
                            <w:pPr>
                              <w:pStyle w:val="TableContents"/>
                              <w:bidi w:val="0"/>
                              <w:spacing w:before="0" w:after="283"/>
                              <w:jc w:val="left"/>
                              <w:rPr/>
                            </w:pPr>
                            <w:r>
                              <w:rPr/>
                              <w:t> </w:t>
                            </w:r>
                          </w:p>
                        </w:tc>
                        <w:tc>
                          <w:tcPr>
                            <w:tcW w:w="514" w:type="dxa"/>
                            <w:tcBorders/>
                          </w:tcPr>
                          <w:p>
                            <w:pPr>
                              <w:pStyle w:val="TableContents"/>
                              <w:bidi w:val="0"/>
                              <w:spacing w:before="0" w:after="283"/>
                              <w:jc w:val="left"/>
                              <w:rPr>
                                <w:sz w:val="4"/>
                                <w:szCs w:val="4"/>
                              </w:rPr>
                            </w:pPr>
                            <w:r>
                              <w:rPr>
                                <w:sz w:val="4"/>
                                <w:szCs w:val="4"/>
                              </w:rPr>
                            </w:r>
                          </w:p>
                        </w:tc>
                        <w:tc>
                          <w:tcPr>
                            <w:tcW w:w="58" w:type="dxa"/>
                            <w:tcBorders/>
                          </w:tcPr>
                          <w:p>
                            <w:pPr>
                              <w:pStyle w:val="TableContents"/>
                              <w:bidi w:val="0"/>
                              <w:spacing w:before="0" w:after="283"/>
                              <w:jc w:val="left"/>
                              <w:rPr>
                                <w:sz w:val="4"/>
                                <w:szCs w:val="4"/>
                              </w:rPr>
                            </w:pPr>
                            <w:r>
                              <w:rPr>
                                <w:sz w:val="4"/>
                                <w:szCs w:val="4"/>
                              </w:rPr>
                            </w:r>
                          </w:p>
                        </w:tc>
                        <w:tc>
                          <w:tcPr>
                            <w:tcW w:w="28" w:type="dxa"/>
                            <w:tcBorders/>
                          </w:tcPr>
                          <w:p>
                            <w:pPr>
                              <w:pStyle w:val="TableContents"/>
                              <w:bidi w:val="0"/>
                              <w:spacing w:before="0" w:after="283"/>
                              <w:jc w:val="left"/>
                              <w:rPr>
                                <w:sz w:val="4"/>
                                <w:szCs w:val="4"/>
                              </w:rPr>
                            </w:pPr>
                            <w:r>
                              <w:rPr>
                                <w:sz w:val="4"/>
                                <w:szCs w:val="4"/>
                              </w:rPr>
                            </w:r>
                          </w:p>
                        </w:tc>
                        <w:tc>
                          <w:tcPr>
                            <w:tcW w:w="226" w:type="dxa"/>
                            <w:tcBorders/>
                          </w:tcPr>
                          <w:p>
                            <w:pPr>
                              <w:pStyle w:val="TableContents"/>
                              <w:bidi w:val="0"/>
                              <w:spacing w:before="0" w:after="283"/>
                              <w:jc w:val="left"/>
                              <w:rPr>
                                <w:sz w:val="4"/>
                                <w:szCs w:val="4"/>
                              </w:rPr>
                            </w:pPr>
                            <w:r>
                              <w:rPr>
                                <w:sz w:val="4"/>
                                <w:szCs w:val="4"/>
                              </w:rPr>
                            </w:r>
                          </w:p>
                        </w:tc>
                        <w:tc>
                          <w:tcPr>
                            <w:tcW w:w="30" w:type="dxa"/>
                            <w:tcBorders/>
                          </w:tcPr>
                          <w:p>
                            <w:pPr>
                              <w:pStyle w:val="TableContents"/>
                              <w:bidi w:val="0"/>
                              <w:spacing w:before="0" w:after="283"/>
                              <w:jc w:val="left"/>
                              <w:rPr>
                                <w:sz w:val="4"/>
                                <w:szCs w:val="4"/>
                              </w:rPr>
                            </w:pPr>
                            <w:r>
                              <w:rPr>
                                <w:sz w:val="4"/>
                                <w:szCs w:val="4"/>
                              </w:rPr>
                            </w:r>
                          </w:p>
                        </w:tc>
                      </w:tr>
                      <w:tr>
                        <w:trPr/>
                        <w:tc>
                          <w:tcPr>
                            <w:tcW w:w="3512" w:type="dxa"/>
                            <w:vMerge w:val="continue"/>
                            <w:tcBorders/>
                            <w:vAlign w:val="bottom"/>
                          </w:tcPr>
                          <w:p>
                            <w:pPr>
                              <w:pStyle w:val="Normal"/>
                              <w:bidi w:val="0"/>
                              <w:jc w:val="left"/>
                              <w:rPr/>
                            </w:pPr>
                            <w:r>
                              <w:rPr/>
                            </w:r>
                          </w:p>
                        </w:tc>
                        <w:tc>
                          <w:tcPr>
                            <w:tcW w:w="247" w:type="dxa"/>
                            <w:vMerge w:val="continue"/>
                            <w:tcBorders/>
                            <w:vAlign w:val="bottom"/>
                          </w:tcPr>
                          <w:p>
                            <w:pPr>
                              <w:pStyle w:val="Normal"/>
                              <w:bidi w:val="0"/>
                              <w:jc w:val="left"/>
                              <w:rPr/>
                            </w:pPr>
                            <w:r>
                              <w:rPr/>
                            </w:r>
                          </w:p>
                        </w:tc>
                        <w:tc>
                          <w:tcPr>
                            <w:tcW w:w="29" w:type="dxa"/>
                            <w:vMerge w:val="continue"/>
                            <w:tcBorders/>
                            <w:vAlign w:val="bottom"/>
                          </w:tcPr>
                          <w:p>
                            <w:pPr>
                              <w:pStyle w:val="Normal"/>
                              <w:bidi w:val="0"/>
                              <w:jc w:val="left"/>
                              <w:rPr/>
                            </w:pPr>
                            <w:r>
                              <w:rPr/>
                            </w:r>
                          </w:p>
                        </w:tc>
                        <w:tc>
                          <w:tcPr>
                            <w:tcW w:w="225" w:type="dxa"/>
                            <w:vMerge w:val="continue"/>
                            <w:tcBorders/>
                            <w:vAlign w:val="bottom"/>
                          </w:tcPr>
                          <w:p>
                            <w:pPr>
                              <w:pStyle w:val="Normal"/>
                              <w:bidi w:val="0"/>
                              <w:jc w:val="left"/>
                              <w:rPr/>
                            </w:pPr>
                            <w:r>
                              <w:rPr/>
                            </w:r>
                          </w:p>
                        </w:tc>
                        <w:tc>
                          <w:tcPr>
                            <w:tcW w:w="29" w:type="dxa"/>
                            <w:vMerge w:val="continue"/>
                            <w:tcBorders/>
                            <w:vAlign w:val="bottom"/>
                          </w:tcPr>
                          <w:p>
                            <w:pPr>
                              <w:pStyle w:val="Normal"/>
                              <w:bidi w:val="0"/>
                              <w:jc w:val="left"/>
                              <w:rPr/>
                            </w:pPr>
                            <w:r>
                              <w:rPr/>
                            </w:r>
                          </w:p>
                        </w:tc>
                        <w:tc>
                          <w:tcPr>
                            <w:tcW w:w="514" w:type="dxa"/>
                            <w:tcBorders/>
                            <w:vAlign w:val="bottom"/>
                          </w:tcPr>
                          <w:p>
                            <w:pPr>
                              <w:pStyle w:val="TableContents"/>
                              <w:bidi w:val="0"/>
                              <w:spacing w:before="0" w:after="0"/>
                              <w:jc w:val="left"/>
                              <w:rPr/>
                            </w:pPr>
                            <w:hyperlink w:anchor="supptoc98164_3">
                              <w:r>
                                <w:rPr>
                                  <w:rStyle w:val="InternetLink"/>
                                  <w:rFonts w:ascii="Times New Roman" w:hAnsi="Times New Roman"/>
                                  <w:sz w:val="20"/>
                                </w:rPr>
                                <w:t>Prospectus Supplement Summary</w:t>
                              </w:r>
                            </w:hyperlink>
                          </w:p>
                        </w:tc>
                        <w:tc>
                          <w:tcPr>
                            <w:tcW w:w="58" w:type="dxa"/>
                            <w:tcBorders/>
                            <w:vAlign w:val="bottom"/>
                          </w:tcPr>
                          <w:p>
                            <w:pPr>
                              <w:pStyle w:val="TableContents"/>
                              <w:bidi w:val="0"/>
                              <w:spacing w:before="0" w:after="283"/>
                              <w:jc w:val="left"/>
                              <w:rPr/>
                            </w:pPr>
                            <w:r>
                              <w:rPr/>
                              <w:t>  </w:t>
                            </w:r>
                          </w:p>
                        </w:tc>
                        <w:tc>
                          <w:tcPr>
                            <w:tcW w:w="28"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right"/>
                              <w:rPr/>
                            </w:pPr>
                            <w:r>
                              <w:rPr/>
                              <w:t>S-4</w:t>
                            </w:r>
                          </w:p>
                        </w:tc>
                        <w:tc>
                          <w:tcPr>
                            <w:tcW w:w="30" w:type="dxa"/>
                            <w:tcBorders/>
                            <w:vAlign w:val="bottom"/>
                          </w:tcPr>
                          <w:p>
                            <w:pPr>
                              <w:pStyle w:val="TableContents"/>
                              <w:bidi w:val="0"/>
                              <w:spacing w:before="0" w:after="283"/>
                              <w:jc w:val="left"/>
                              <w:rPr/>
                            </w:pPr>
                            <w:r>
                              <w:rPr/>
                              <w:t> </w:t>
                            </w:r>
                          </w:p>
                        </w:tc>
                      </w:tr>
                      <w:tr>
                        <w:trPr/>
                        <w:tc>
                          <w:tcPr>
                            <w:tcW w:w="3512" w:type="dxa"/>
                            <w:tcBorders/>
                            <w:vAlign w:val="bottom"/>
                          </w:tcPr>
                          <w:p>
                            <w:pPr>
                              <w:pStyle w:val="TableContents"/>
                              <w:bidi w:val="0"/>
                              <w:spacing w:before="0" w:after="0"/>
                              <w:jc w:val="left"/>
                              <w:rPr/>
                            </w:pPr>
                            <w:hyperlink w:anchor="supptoc98164_4">
                              <w:r>
                                <w:rPr>
                                  <w:rStyle w:val="InternetLink"/>
                                  <w:rFonts w:ascii="Times New Roman" w:hAnsi="Times New Roman"/>
                                  <w:sz w:val="20"/>
                                </w:rPr>
                                <w:t>Risk Factors</w:t>
                              </w:r>
                            </w:hyperlink>
                          </w:p>
                        </w:tc>
                        <w:tc>
                          <w:tcPr>
                            <w:tcW w:w="247"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right"/>
                              <w:rPr/>
                            </w:pPr>
                            <w:r>
                              <w:rPr/>
                              <w:t>S-9</w:t>
                            </w:r>
                          </w:p>
                        </w:tc>
                        <w:tc>
                          <w:tcPr>
                            <w:tcW w:w="29" w:type="dxa"/>
                            <w:tcBorders/>
                            <w:vAlign w:val="bottom"/>
                          </w:tcPr>
                          <w:p>
                            <w:pPr>
                              <w:pStyle w:val="TableContents"/>
                              <w:bidi w:val="0"/>
                              <w:spacing w:before="0" w:after="283"/>
                              <w:jc w:val="left"/>
                              <w:rPr/>
                            </w:pPr>
                            <w:r>
                              <w:rPr/>
                              <w:t> </w:t>
                            </w:r>
                          </w:p>
                        </w:tc>
                        <w:tc>
                          <w:tcPr>
                            <w:tcW w:w="856" w:type="dxa"/>
                            <w:gridSpan w:val="5"/>
                            <w:tcBorders/>
                          </w:tcPr>
                          <w:p>
                            <w:pPr>
                              <w:pStyle w:val="TableContents"/>
                              <w:bidi w:val="0"/>
                              <w:spacing w:before="0" w:after="283"/>
                              <w:jc w:val="left"/>
                              <w:rPr>
                                <w:sz w:val="4"/>
                                <w:szCs w:val="4"/>
                              </w:rPr>
                            </w:pPr>
                            <w:r>
                              <w:rPr>
                                <w:sz w:val="4"/>
                                <w:szCs w:val="4"/>
                              </w:rPr>
                            </w:r>
                          </w:p>
                        </w:tc>
                      </w:tr>
                      <w:tr>
                        <w:trPr/>
                        <w:tc>
                          <w:tcPr>
                            <w:tcW w:w="3512" w:type="dxa"/>
                            <w:tcBorders/>
                            <w:vAlign w:val="bottom"/>
                          </w:tcPr>
                          <w:p>
                            <w:pPr>
                              <w:pStyle w:val="TableContents"/>
                              <w:bidi w:val="0"/>
                              <w:spacing w:before="0" w:after="0"/>
                              <w:jc w:val="left"/>
                              <w:rPr/>
                            </w:pPr>
                            <w:hyperlink w:anchor="supptoc98164_5">
                              <w:r>
                                <w:rPr>
                                  <w:rStyle w:val="InternetLink"/>
                                  <w:rFonts w:ascii="Times New Roman" w:hAnsi="Times New Roman"/>
                                  <w:sz w:val="20"/>
                                </w:rPr>
                                <w:t>Use of Proceeds</w:t>
                              </w:r>
                            </w:hyperlink>
                          </w:p>
                        </w:tc>
                        <w:tc>
                          <w:tcPr>
                            <w:tcW w:w="247"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right"/>
                              <w:rPr/>
                            </w:pPr>
                            <w:r>
                              <w:rPr/>
                              <w:t>S-12</w:t>
                            </w:r>
                          </w:p>
                        </w:tc>
                        <w:tc>
                          <w:tcPr>
                            <w:tcW w:w="29" w:type="dxa"/>
                            <w:tcBorders/>
                            <w:vAlign w:val="bottom"/>
                          </w:tcPr>
                          <w:p>
                            <w:pPr>
                              <w:pStyle w:val="TableContents"/>
                              <w:bidi w:val="0"/>
                              <w:spacing w:before="0" w:after="283"/>
                              <w:jc w:val="left"/>
                              <w:rPr/>
                            </w:pPr>
                            <w:r>
                              <w:rPr/>
                              <w:t> </w:t>
                            </w:r>
                          </w:p>
                        </w:tc>
                        <w:tc>
                          <w:tcPr>
                            <w:tcW w:w="856" w:type="dxa"/>
                            <w:gridSpan w:val="5"/>
                            <w:tcBorders/>
                          </w:tcPr>
                          <w:p>
                            <w:pPr>
                              <w:pStyle w:val="TableContents"/>
                              <w:bidi w:val="0"/>
                              <w:spacing w:before="0" w:after="283"/>
                              <w:jc w:val="left"/>
                              <w:rPr>
                                <w:sz w:val="4"/>
                                <w:szCs w:val="4"/>
                              </w:rPr>
                            </w:pPr>
                            <w:r>
                              <w:rPr>
                                <w:sz w:val="4"/>
                                <w:szCs w:val="4"/>
                              </w:rPr>
                            </w:r>
                          </w:p>
                        </w:tc>
                      </w:tr>
                      <w:tr>
                        <w:trPr/>
                        <w:tc>
                          <w:tcPr>
                            <w:tcW w:w="3512" w:type="dxa"/>
                            <w:tcBorders/>
                            <w:vAlign w:val="bottom"/>
                          </w:tcPr>
                          <w:p>
                            <w:pPr>
                              <w:pStyle w:val="TableContents"/>
                              <w:bidi w:val="0"/>
                              <w:spacing w:before="0" w:after="0"/>
                              <w:jc w:val="left"/>
                              <w:rPr/>
                            </w:pPr>
                            <w:hyperlink w:anchor="supptoc98164_6">
                              <w:r>
                                <w:rPr>
                                  <w:rStyle w:val="InternetLink"/>
                                  <w:rFonts w:ascii="Times New Roman" w:hAnsi="Times New Roman"/>
                                  <w:sz w:val="20"/>
                                </w:rPr>
                                <w:t>Dilution</w:t>
                              </w:r>
                            </w:hyperlink>
                          </w:p>
                        </w:tc>
                        <w:tc>
                          <w:tcPr>
                            <w:tcW w:w="247"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right"/>
                              <w:rPr/>
                            </w:pPr>
                            <w:r>
                              <w:rPr/>
                              <w:t>S-13</w:t>
                            </w:r>
                          </w:p>
                        </w:tc>
                        <w:tc>
                          <w:tcPr>
                            <w:tcW w:w="29" w:type="dxa"/>
                            <w:tcBorders/>
                            <w:vAlign w:val="bottom"/>
                          </w:tcPr>
                          <w:p>
                            <w:pPr>
                              <w:pStyle w:val="TableContents"/>
                              <w:bidi w:val="0"/>
                              <w:spacing w:before="0" w:after="283"/>
                              <w:jc w:val="left"/>
                              <w:rPr/>
                            </w:pPr>
                            <w:r>
                              <w:rPr/>
                              <w:t> </w:t>
                            </w:r>
                          </w:p>
                        </w:tc>
                        <w:tc>
                          <w:tcPr>
                            <w:tcW w:w="856" w:type="dxa"/>
                            <w:gridSpan w:val="5"/>
                            <w:tcBorders/>
                          </w:tcPr>
                          <w:p>
                            <w:pPr>
                              <w:pStyle w:val="TableContents"/>
                              <w:bidi w:val="0"/>
                              <w:spacing w:before="0" w:after="283"/>
                              <w:jc w:val="left"/>
                              <w:rPr>
                                <w:sz w:val="4"/>
                                <w:szCs w:val="4"/>
                              </w:rPr>
                            </w:pPr>
                            <w:r>
                              <w:rPr>
                                <w:sz w:val="4"/>
                                <w:szCs w:val="4"/>
                              </w:rPr>
                            </w:r>
                          </w:p>
                        </w:tc>
                      </w:tr>
                      <w:tr>
                        <w:trPr/>
                        <w:tc>
                          <w:tcPr>
                            <w:tcW w:w="3512" w:type="dxa"/>
                            <w:vMerge w:val="restart"/>
                            <w:tcBorders/>
                            <w:vAlign w:val="bottom"/>
                          </w:tcPr>
                          <w:p>
                            <w:pPr>
                              <w:pStyle w:val="TableContents"/>
                              <w:bidi w:val="0"/>
                              <w:spacing w:before="0" w:after="0"/>
                              <w:jc w:val="left"/>
                              <w:rPr/>
                            </w:pPr>
                            <w:hyperlink w:anchor="supptoc98164_7">
                              <w:r>
                                <w:rPr>
                                  <w:rStyle w:val="InternetLink"/>
                                  <w:rFonts w:ascii="Times New Roman" w:hAnsi="Times New Roman"/>
                                  <w:sz w:val="20"/>
                                </w:rPr>
                                <w:t>Material U.S. Federal Income Tax Considerations For Non-U.S. Holders of Our Common Stock</w:t>
                              </w:r>
                            </w:hyperlink>
                          </w:p>
                        </w:tc>
                        <w:tc>
                          <w:tcPr>
                            <w:tcW w:w="247" w:type="dxa"/>
                            <w:vMerge w:val="restart"/>
                            <w:tcBorders/>
                            <w:vAlign w:val="bottom"/>
                          </w:tcPr>
                          <w:p>
                            <w:pPr>
                              <w:pStyle w:val="TableContents"/>
                              <w:bidi w:val="0"/>
                              <w:spacing w:before="0" w:after="283"/>
                              <w:jc w:val="left"/>
                              <w:rPr/>
                            </w:pPr>
                            <w:r>
                              <w:rPr/>
                              <w:t>  </w:t>
                            </w:r>
                          </w:p>
                        </w:tc>
                        <w:tc>
                          <w:tcPr>
                            <w:tcW w:w="29" w:type="dxa"/>
                            <w:vMerge w:val="restart"/>
                            <w:tcBorders/>
                            <w:vAlign w:val="bottom"/>
                          </w:tcPr>
                          <w:p>
                            <w:pPr>
                              <w:pStyle w:val="TableContents"/>
                              <w:bidi w:val="0"/>
                              <w:spacing w:before="0" w:after="283"/>
                              <w:jc w:val="left"/>
                              <w:rPr/>
                            </w:pPr>
                            <w:r>
                              <w:rPr/>
                              <w:t> </w:t>
                            </w:r>
                          </w:p>
                        </w:tc>
                        <w:tc>
                          <w:tcPr>
                            <w:tcW w:w="225" w:type="dxa"/>
                            <w:vMerge w:val="restart"/>
                            <w:tcBorders/>
                            <w:vAlign w:val="bottom"/>
                          </w:tcPr>
                          <w:p>
                            <w:pPr>
                              <w:pStyle w:val="TableContents"/>
                              <w:bidi w:val="0"/>
                              <w:spacing w:before="0" w:after="283"/>
                              <w:jc w:val="right"/>
                              <w:rPr/>
                            </w:pPr>
                            <w:r>
                              <w:rPr/>
                              <w:t>S-15</w:t>
                            </w:r>
                          </w:p>
                        </w:tc>
                        <w:tc>
                          <w:tcPr>
                            <w:tcW w:w="29" w:type="dxa"/>
                            <w:vMerge w:val="restart"/>
                            <w:tcBorders/>
                            <w:vAlign w:val="bottom"/>
                          </w:tcPr>
                          <w:p>
                            <w:pPr>
                              <w:pStyle w:val="TableContents"/>
                              <w:bidi w:val="0"/>
                              <w:spacing w:before="0" w:after="283"/>
                              <w:jc w:val="left"/>
                              <w:rPr/>
                            </w:pPr>
                            <w:r>
                              <w:rPr/>
                              <w:t> </w:t>
                            </w:r>
                          </w:p>
                        </w:tc>
                        <w:tc>
                          <w:tcPr>
                            <w:tcW w:w="856" w:type="dxa"/>
                            <w:gridSpan w:val="5"/>
                            <w:tcBorders/>
                          </w:tcPr>
                          <w:p>
                            <w:pPr>
                              <w:pStyle w:val="TableContents"/>
                              <w:bidi w:val="0"/>
                              <w:spacing w:before="0" w:after="283"/>
                              <w:jc w:val="left"/>
                              <w:rPr>
                                <w:sz w:val="4"/>
                                <w:szCs w:val="4"/>
                              </w:rPr>
                            </w:pPr>
                            <w:r>
                              <w:rPr>
                                <w:sz w:val="4"/>
                                <w:szCs w:val="4"/>
                              </w:rPr>
                            </w:r>
                          </w:p>
                        </w:tc>
                      </w:tr>
                      <w:tr>
                        <w:trPr/>
                        <w:tc>
                          <w:tcPr>
                            <w:tcW w:w="3512" w:type="dxa"/>
                            <w:vMerge w:val="continue"/>
                            <w:tcBorders/>
                            <w:vAlign w:val="bottom"/>
                          </w:tcPr>
                          <w:p>
                            <w:pPr>
                              <w:pStyle w:val="Normal"/>
                              <w:bidi w:val="0"/>
                              <w:jc w:val="left"/>
                              <w:rPr/>
                            </w:pPr>
                            <w:r>
                              <w:rPr/>
                            </w:r>
                          </w:p>
                        </w:tc>
                        <w:tc>
                          <w:tcPr>
                            <w:tcW w:w="247" w:type="dxa"/>
                            <w:vMerge w:val="continue"/>
                            <w:tcBorders/>
                            <w:vAlign w:val="bottom"/>
                          </w:tcPr>
                          <w:p>
                            <w:pPr>
                              <w:pStyle w:val="Normal"/>
                              <w:bidi w:val="0"/>
                              <w:jc w:val="left"/>
                              <w:rPr/>
                            </w:pPr>
                            <w:r>
                              <w:rPr/>
                            </w:r>
                          </w:p>
                        </w:tc>
                        <w:tc>
                          <w:tcPr>
                            <w:tcW w:w="29" w:type="dxa"/>
                            <w:vMerge w:val="continue"/>
                            <w:tcBorders/>
                            <w:vAlign w:val="bottom"/>
                          </w:tcPr>
                          <w:p>
                            <w:pPr>
                              <w:pStyle w:val="Normal"/>
                              <w:bidi w:val="0"/>
                              <w:jc w:val="left"/>
                              <w:rPr/>
                            </w:pPr>
                            <w:r>
                              <w:rPr/>
                            </w:r>
                          </w:p>
                        </w:tc>
                        <w:tc>
                          <w:tcPr>
                            <w:tcW w:w="225" w:type="dxa"/>
                            <w:vMerge w:val="continue"/>
                            <w:tcBorders/>
                            <w:vAlign w:val="bottom"/>
                          </w:tcPr>
                          <w:p>
                            <w:pPr>
                              <w:pStyle w:val="Normal"/>
                              <w:bidi w:val="0"/>
                              <w:jc w:val="left"/>
                              <w:rPr/>
                            </w:pPr>
                            <w:r>
                              <w:rPr/>
                            </w:r>
                          </w:p>
                        </w:tc>
                        <w:tc>
                          <w:tcPr>
                            <w:tcW w:w="29" w:type="dxa"/>
                            <w:vMerge w:val="continue"/>
                            <w:tcBorders/>
                            <w:vAlign w:val="bottom"/>
                          </w:tcPr>
                          <w:p>
                            <w:pPr>
                              <w:pStyle w:val="Normal"/>
                              <w:bidi w:val="0"/>
                              <w:jc w:val="left"/>
                              <w:rPr/>
                            </w:pPr>
                            <w:r>
                              <w:rPr/>
                            </w:r>
                          </w:p>
                        </w:tc>
                        <w:tc>
                          <w:tcPr>
                            <w:tcW w:w="514" w:type="dxa"/>
                            <w:tcBorders/>
                            <w:vAlign w:val="bottom"/>
                          </w:tcPr>
                          <w:p>
                            <w:pPr>
                              <w:pStyle w:val="TableContents"/>
                              <w:bidi w:val="0"/>
                              <w:spacing w:before="0" w:after="0"/>
                              <w:jc w:val="left"/>
                              <w:rPr/>
                            </w:pPr>
                            <w:hyperlink w:anchor="supptoc98164_8">
                              <w:r>
                                <w:rPr>
                                  <w:rStyle w:val="InternetLink"/>
                                  <w:rFonts w:ascii="Times New Roman" w:hAnsi="Times New Roman"/>
                                  <w:sz w:val="20"/>
                                </w:rPr>
                                <w:t>Underwriters</w:t>
                              </w:r>
                            </w:hyperlink>
                          </w:p>
                        </w:tc>
                        <w:tc>
                          <w:tcPr>
                            <w:tcW w:w="58" w:type="dxa"/>
                            <w:tcBorders/>
                            <w:vAlign w:val="bottom"/>
                          </w:tcPr>
                          <w:p>
                            <w:pPr>
                              <w:pStyle w:val="TableContents"/>
                              <w:bidi w:val="0"/>
                              <w:spacing w:before="0" w:after="283"/>
                              <w:jc w:val="left"/>
                              <w:rPr/>
                            </w:pPr>
                            <w:r>
                              <w:rPr/>
                              <w:t>  </w:t>
                            </w:r>
                          </w:p>
                        </w:tc>
                        <w:tc>
                          <w:tcPr>
                            <w:tcW w:w="28"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right"/>
                              <w:rPr/>
                            </w:pPr>
                            <w:r>
                              <w:rPr/>
                              <w:t>S-19</w:t>
                            </w:r>
                          </w:p>
                        </w:tc>
                        <w:tc>
                          <w:tcPr>
                            <w:tcW w:w="30" w:type="dxa"/>
                            <w:tcBorders/>
                            <w:vAlign w:val="bottom"/>
                          </w:tcPr>
                          <w:p>
                            <w:pPr>
                              <w:pStyle w:val="TableContents"/>
                              <w:bidi w:val="0"/>
                              <w:spacing w:before="0" w:after="283"/>
                              <w:jc w:val="left"/>
                              <w:rPr/>
                            </w:pPr>
                            <w:r>
                              <w:rPr/>
                              <w:t> </w:t>
                            </w:r>
                          </w:p>
                        </w:tc>
                      </w:tr>
                      <w:tr>
                        <w:trPr/>
                        <w:tc>
                          <w:tcPr>
                            <w:tcW w:w="3512" w:type="dxa"/>
                            <w:tcBorders/>
                            <w:vAlign w:val="bottom"/>
                          </w:tcPr>
                          <w:p>
                            <w:pPr>
                              <w:pStyle w:val="TableContents"/>
                              <w:bidi w:val="0"/>
                              <w:spacing w:before="0" w:after="0"/>
                              <w:jc w:val="left"/>
                              <w:rPr/>
                            </w:pPr>
                            <w:hyperlink w:anchor="supptoc98164_9">
                              <w:r>
                                <w:rPr>
                                  <w:rStyle w:val="InternetLink"/>
                                  <w:rFonts w:ascii="Times New Roman" w:hAnsi="Times New Roman"/>
                                  <w:sz w:val="20"/>
                                </w:rPr>
                                <w:t>Legal Matters</w:t>
                              </w:r>
                            </w:hyperlink>
                          </w:p>
                        </w:tc>
                        <w:tc>
                          <w:tcPr>
                            <w:tcW w:w="247"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right"/>
                              <w:rPr/>
                            </w:pPr>
                            <w:r>
                              <w:rPr/>
                              <w:t>S-29</w:t>
                            </w:r>
                          </w:p>
                        </w:tc>
                        <w:tc>
                          <w:tcPr>
                            <w:tcW w:w="29" w:type="dxa"/>
                            <w:tcBorders/>
                            <w:vAlign w:val="bottom"/>
                          </w:tcPr>
                          <w:p>
                            <w:pPr>
                              <w:pStyle w:val="TableContents"/>
                              <w:bidi w:val="0"/>
                              <w:spacing w:before="0" w:after="283"/>
                              <w:jc w:val="left"/>
                              <w:rPr/>
                            </w:pPr>
                            <w:r>
                              <w:rPr/>
                              <w:t> </w:t>
                            </w:r>
                          </w:p>
                        </w:tc>
                        <w:tc>
                          <w:tcPr>
                            <w:tcW w:w="856" w:type="dxa"/>
                            <w:gridSpan w:val="5"/>
                            <w:tcBorders/>
                          </w:tcPr>
                          <w:p>
                            <w:pPr>
                              <w:pStyle w:val="TableContents"/>
                              <w:bidi w:val="0"/>
                              <w:spacing w:before="0" w:after="283"/>
                              <w:jc w:val="left"/>
                              <w:rPr>
                                <w:sz w:val="4"/>
                                <w:szCs w:val="4"/>
                              </w:rPr>
                            </w:pPr>
                            <w:r>
                              <w:rPr>
                                <w:sz w:val="4"/>
                                <w:szCs w:val="4"/>
                              </w:rPr>
                            </w:r>
                          </w:p>
                        </w:tc>
                      </w:tr>
                      <w:tr>
                        <w:trPr/>
                        <w:tc>
                          <w:tcPr>
                            <w:tcW w:w="3512" w:type="dxa"/>
                            <w:tcBorders/>
                            <w:vAlign w:val="bottom"/>
                          </w:tcPr>
                          <w:p>
                            <w:pPr>
                              <w:pStyle w:val="TableContents"/>
                              <w:bidi w:val="0"/>
                              <w:spacing w:before="0" w:after="0"/>
                              <w:jc w:val="left"/>
                              <w:rPr/>
                            </w:pPr>
                            <w:hyperlink w:anchor="supptoc98164_10">
                              <w:r>
                                <w:rPr>
                                  <w:rStyle w:val="InternetLink"/>
                                  <w:rFonts w:ascii="Times New Roman" w:hAnsi="Times New Roman"/>
                                  <w:sz w:val="20"/>
                                </w:rPr>
                                <w:t>Experts</w:t>
                              </w:r>
                            </w:hyperlink>
                          </w:p>
                        </w:tc>
                        <w:tc>
                          <w:tcPr>
                            <w:tcW w:w="247"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right"/>
                              <w:rPr/>
                            </w:pPr>
                            <w:r>
                              <w:rPr/>
                              <w:t>S-29</w:t>
                            </w:r>
                          </w:p>
                        </w:tc>
                        <w:tc>
                          <w:tcPr>
                            <w:tcW w:w="29" w:type="dxa"/>
                            <w:tcBorders/>
                            <w:vAlign w:val="bottom"/>
                          </w:tcPr>
                          <w:p>
                            <w:pPr>
                              <w:pStyle w:val="TableContents"/>
                              <w:bidi w:val="0"/>
                              <w:spacing w:before="0" w:after="283"/>
                              <w:jc w:val="left"/>
                              <w:rPr/>
                            </w:pPr>
                            <w:r>
                              <w:rPr/>
                              <w:t> </w:t>
                            </w:r>
                          </w:p>
                        </w:tc>
                        <w:tc>
                          <w:tcPr>
                            <w:tcW w:w="856" w:type="dxa"/>
                            <w:gridSpan w:val="5"/>
                            <w:tcBorders/>
                          </w:tcPr>
                          <w:p>
                            <w:pPr>
                              <w:pStyle w:val="TableContents"/>
                              <w:bidi w:val="0"/>
                              <w:spacing w:before="0" w:after="283"/>
                              <w:jc w:val="left"/>
                              <w:rPr>
                                <w:sz w:val="4"/>
                                <w:szCs w:val="4"/>
                              </w:rPr>
                            </w:pPr>
                            <w:r>
                              <w:rPr>
                                <w:sz w:val="4"/>
                                <w:szCs w:val="4"/>
                              </w:rPr>
                            </w:r>
                          </w:p>
                        </w:tc>
                      </w:tr>
                      <w:tr>
                        <w:trPr/>
                        <w:tc>
                          <w:tcPr>
                            <w:tcW w:w="3512" w:type="dxa"/>
                            <w:tcBorders/>
                            <w:vAlign w:val="bottom"/>
                          </w:tcPr>
                          <w:p>
                            <w:pPr>
                              <w:pStyle w:val="TableContents"/>
                              <w:bidi w:val="0"/>
                              <w:spacing w:before="0" w:after="0"/>
                              <w:jc w:val="left"/>
                              <w:rPr/>
                            </w:pPr>
                            <w:hyperlink w:anchor="supptoc98164_11">
                              <w:r>
                                <w:rPr>
                                  <w:rStyle w:val="InternetLink"/>
                                  <w:rFonts w:ascii="Times New Roman" w:hAnsi="Times New Roman"/>
                                  <w:sz w:val="20"/>
                                </w:rPr>
                                <w:t>Where You Can Find More Information</w:t>
                              </w:r>
                            </w:hyperlink>
                          </w:p>
                        </w:tc>
                        <w:tc>
                          <w:tcPr>
                            <w:tcW w:w="247"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right"/>
                              <w:rPr/>
                            </w:pPr>
                            <w:r>
                              <w:rPr/>
                              <w:t>S-30</w:t>
                            </w:r>
                          </w:p>
                        </w:tc>
                        <w:tc>
                          <w:tcPr>
                            <w:tcW w:w="29" w:type="dxa"/>
                            <w:tcBorders/>
                            <w:vAlign w:val="bottom"/>
                          </w:tcPr>
                          <w:p>
                            <w:pPr>
                              <w:pStyle w:val="TableContents"/>
                              <w:bidi w:val="0"/>
                              <w:spacing w:before="0" w:after="283"/>
                              <w:jc w:val="left"/>
                              <w:rPr/>
                            </w:pPr>
                            <w:r>
                              <w:rPr/>
                              <w:t> </w:t>
                            </w:r>
                          </w:p>
                        </w:tc>
                        <w:tc>
                          <w:tcPr>
                            <w:tcW w:w="856" w:type="dxa"/>
                            <w:gridSpan w:val="5"/>
                            <w:tcBorders/>
                          </w:tcPr>
                          <w:p>
                            <w:pPr>
                              <w:pStyle w:val="TableContents"/>
                              <w:bidi w:val="0"/>
                              <w:spacing w:before="0" w:after="283"/>
                              <w:jc w:val="left"/>
                              <w:rPr>
                                <w:sz w:val="4"/>
                                <w:szCs w:val="4"/>
                              </w:rPr>
                            </w:pPr>
                            <w:r>
                              <w:rPr>
                                <w:sz w:val="4"/>
                                <w:szCs w:val="4"/>
                              </w:rPr>
                            </w:r>
                          </w:p>
                        </w:tc>
                      </w:tr>
                      <w:tr>
                        <w:trPr/>
                        <w:tc>
                          <w:tcPr>
                            <w:tcW w:w="3512" w:type="dxa"/>
                            <w:tcBorders/>
                            <w:vAlign w:val="bottom"/>
                          </w:tcPr>
                          <w:p>
                            <w:pPr>
                              <w:pStyle w:val="TableContents"/>
                              <w:bidi w:val="0"/>
                              <w:spacing w:before="0" w:after="0"/>
                              <w:jc w:val="left"/>
                              <w:rPr/>
                            </w:pPr>
                            <w:hyperlink w:anchor="supptoc98164_12">
                              <w:r>
                                <w:rPr>
                                  <w:rStyle w:val="InternetLink"/>
                                  <w:rFonts w:ascii="Times New Roman" w:hAnsi="Times New Roman"/>
                                  <w:sz w:val="20"/>
                                </w:rPr>
                                <w:t>Incorporation of Certain Information by Reference</w:t>
                              </w:r>
                            </w:hyperlink>
                          </w:p>
                        </w:tc>
                        <w:tc>
                          <w:tcPr>
                            <w:tcW w:w="247"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right"/>
                              <w:rPr/>
                            </w:pPr>
                            <w:r>
                              <w:rPr/>
                              <w:t>S-30</w:t>
                            </w:r>
                          </w:p>
                        </w:tc>
                        <w:tc>
                          <w:tcPr>
                            <w:tcW w:w="29" w:type="dxa"/>
                            <w:tcBorders/>
                            <w:vAlign w:val="bottom"/>
                          </w:tcPr>
                          <w:p>
                            <w:pPr>
                              <w:pStyle w:val="TableContents"/>
                              <w:bidi w:val="0"/>
                              <w:spacing w:before="0" w:after="283"/>
                              <w:jc w:val="left"/>
                              <w:rPr/>
                            </w:pPr>
                            <w:r>
                              <w:rPr/>
                              <w:t> </w:t>
                            </w:r>
                          </w:p>
                        </w:tc>
                        <w:tc>
                          <w:tcPr>
                            <w:tcW w:w="856" w:type="dxa"/>
                            <w:gridSpan w:val="5"/>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75000" cy="8079105"/>
                <wp:effectExtent l="0" t="0" r="0" b="0"/>
                <wp:wrapSquare wrapText="right"/>
                <wp:docPr id="3" name="Frame2"/>
                <a:graphic xmlns:a="http://schemas.openxmlformats.org/drawingml/2006/main">
                  <a:graphicData uri="http://schemas.microsoft.com/office/word/2010/wordprocessingShape">
                    <wps:wsp>
                      <wps:cNvSpPr txBox="1"/>
                      <wps:spPr>
                        <a:xfrm>
                          <a:off x="0" y="0"/>
                          <a:ext cx="3175000" cy="8079105"/>
                        </a:xfrm>
                        <a:prstGeom prst="rect"/>
                        <a:solidFill>
                          <a:srgbClr val="FFFFFF"/>
                        </a:solidFill>
                      </wps:spPr>
                      <wps:txbx>
                        <w:txbxContent>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34"/>
                              <w:gridCol w:w="274"/>
                              <w:gridCol w:w="47"/>
                              <w:gridCol w:w="207"/>
                              <w:gridCol w:w="30"/>
                              <w:gridCol w:w="320"/>
                              <w:gridCol w:w="59"/>
                              <w:gridCol w:w="29"/>
                              <w:gridCol w:w="69"/>
                              <w:gridCol w:w="31"/>
                            </w:tblGrid>
                            <w:tr>
                              <w:trPr/>
                              <w:tc>
                                <w:tcPr>
                                  <w:tcW w:w="3934"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20"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69" w:type="dxa"/>
                                  <w:tcBorders/>
                                </w:tcPr>
                                <w:p>
                                  <w:pPr>
                                    <w:pStyle w:val="TableContents"/>
                                    <w:bidi w:val="0"/>
                                    <w:spacing w:before="0" w:after="283"/>
                                    <w:jc w:val="left"/>
                                    <w:rPr>
                                      <w:sz w:val="4"/>
                                      <w:szCs w:val="4"/>
                                    </w:rPr>
                                  </w:pPr>
                                  <w:r>
                                    <w:rPr>
                                      <w:sz w:val="4"/>
                                      <w:szCs w:val="4"/>
                                    </w:rPr>
                                  </w:r>
                                </w:p>
                              </w:tc>
                              <w:tc>
                                <w:tcPr>
                                  <w:tcW w:w="31" w:type="dxa"/>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c>
                                <w:tcPr>
                                  <w:tcW w:w="320"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69" w:type="dxa"/>
                                  <w:tcBorders/>
                                </w:tcPr>
                                <w:p>
                                  <w:pPr>
                                    <w:pStyle w:val="TableContents"/>
                                    <w:bidi w:val="0"/>
                                    <w:spacing w:before="0" w:after="283"/>
                                    <w:jc w:val="left"/>
                                    <w:rPr>
                                      <w:sz w:val="4"/>
                                      <w:szCs w:val="4"/>
                                    </w:rPr>
                                  </w:pPr>
                                  <w:r>
                                    <w:rPr>
                                      <w:sz w:val="4"/>
                                      <w:szCs w:val="4"/>
                                    </w:rPr>
                                  </w:r>
                                </w:p>
                              </w:tc>
                              <w:tc>
                                <w:tcPr>
                                  <w:tcW w:w="31" w:type="dxa"/>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1">
                                    <w:r>
                                      <w:rPr>
                                        <w:rStyle w:val="InternetLink"/>
                                        <w:rFonts w:ascii="Times New Roman" w:hAnsi="Times New Roman"/>
                                        <w:sz w:val="20"/>
                                      </w:rPr>
                                      <w:t>About This Prospectus</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1</w:t>
                                  </w:r>
                                </w:p>
                              </w:tc>
                              <w:tc>
                                <w:tcPr>
                                  <w:tcW w:w="30" w:type="dxa"/>
                                  <w:tcBorders/>
                                  <w:vAlign w:val="bottom"/>
                                </w:tcPr>
                                <w:p>
                                  <w:pPr>
                                    <w:pStyle w:val="TableContents"/>
                                    <w:bidi w:val="0"/>
                                    <w:spacing w:before="0" w:after="283"/>
                                    <w:jc w:val="left"/>
                                    <w:rPr/>
                                  </w:pPr>
                                  <w:r>
                                    <w:rPr/>
                                    <w:t> </w:t>
                                  </w:r>
                                </w:p>
                              </w:tc>
                              <w:tc>
                                <w:tcPr>
                                  <w:tcW w:w="320"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69" w:type="dxa"/>
                                  <w:tcBorders/>
                                </w:tcPr>
                                <w:p>
                                  <w:pPr>
                                    <w:pStyle w:val="TableContents"/>
                                    <w:bidi w:val="0"/>
                                    <w:spacing w:before="0" w:after="283"/>
                                    <w:jc w:val="left"/>
                                    <w:rPr>
                                      <w:sz w:val="4"/>
                                      <w:szCs w:val="4"/>
                                    </w:rPr>
                                  </w:pPr>
                                  <w:r>
                                    <w:rPr>
                                      <w:sz w:val="4"/>
                                      <w:szCs w:val="4"/>
                                    </w:rPr>
                                  </w:r>
                                </w:p>
                              </w:tc>
                              <w:tc>
                                <w:tcPr>
                                  <w:tcW w:w="31" w:type="dxa"/>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2">
                                    <w:r>
                                      <w:rPr>
                                        <w:rStyle w:val="InternetLink"/>
                                        <w:rFonts w:ascii="Times New Roman" w:hAnsi="Times New Roman"/>
                                        <w:sz w:val="20"/>
                                      </w:rPr>
                                      <w:t>Where You Can Find More Information</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2</w:t>
                                  </w:r>
                                </w:p>
                              </w:tc>
                              <w:tc>
                                <w:tcPr>
                                  <w:tcW w:w="30" w:type="dxa"/>
                                  <w:tcBorders/>
                                  <w:vAlign w:val="bottom"/>
                                </w:tcPr>
                                <w:p>
                                  <w:pPr>
                                    <w:pStyle w:val="TableContents"/>
                                    <w:bidi w:val="0"/>
                                    <w:spacing w:before="0" w:after="283"/>
                                    <w:jc w:val="left"/>
                                    <w:rPr/>
                                  </w:pPr>
                                  <w:r>
                                    <w:rPr/>
                                    <w:t> </w:t>
                                  </w:r>
                                </w:p>
                              </w:tc>
                              <w:tc>
                                <w:tcPr>
                                  <w:tcW w:w="320"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69" w:type="dxa"/>
                                  <w:tcBorders/>
                                </w:tcPr>
                                <w:p>
                                  <w:pPr>
                                    <w:pStyle w:val="TableContents"/>
                                    <w:bidi w:val="0"/>
                                    <w:spacing w:before="0" w:after="283"/>
                                    <w:jc w:val="left"/>
                                    <w:rPr>
                                      <w:sz w:val="4"/>
                                      <w:szCs w:val="4"/>
                                    </w:rPr>
                                  </w:pPr>
                                  <w:r>
                                    <w:rPr>
                                      <w:sz w:val="4"/>
                                      <w:szCs w:val="4"/>
                                    </w:rPr>
                                  </w:r>
                                </w:p>
                              </w:tc>
                              <w:tc>
                                <w:tcPr>
                                  <w:tcW w:w="31" w:type="dxa"/>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3">
                                    <w:r>
                                      <w:rPr>
                                        <w:rStyle w:val="InternetLink"/>
                                        <w:rFonts w:ascii="Times New Roman" w:hAnsi="Times New Roman"/>
                                        <w:sz w:val="20"/>
                                      </w:rPr>
                                      <w:t>Incorporation by Reference</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2</w:t>
                                  </w:r>
                                </w:p>
                              </w:tc>
                              <w:tc>
                                <w:tcPr>
                                  <w:tcW w:w="30" w:type="dxa"/>
                                  <w:tcBorders/>
                                  <w:vAlign w:val="bottom"/>
                                </w:tcPr>
                                <w:p>
                                  <w:pPr>
                                    <w:pStyle w:val="TableContents"/>
                                    <w:bidi w:val="0"/>
                                    <w:spacing w:before="0" w:after="283"/>
                                    <w:jc w:val="left"/>
                                    <w:rPr/>
                                  </w:pPr>
                                  <w:r>
                                    <w:rPr/>
                                    <w:t> </w:t>
                                  </w:r>
                                </w:p>
                              </w:tc>
                              <w:tc>
                                <w:tcPr>
                                  <w:tcW w:w="320"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69" w:type="dxa"/>
                                  <w:tcBorders/>
                                </w:tcPr>
                                <w:p>
                                  <w:pPr>
                                    <w:pStyle w:val="TableContents"/>
                                    <w:bidi w:val="0"/>
                                    <w:spacing w:before="0" w:after="283"/>
                                    <w:jc w:val="left"/>
                                    <w:rPr>
                                      <w:sz w:val="4"/>
                                      <w:szCs w:val="4"/>
                                    </w:rPr>
                                  </w:pPr>
                                  <w:r>
                                    <w:rPr>
                                      <w:sz w:val="4"/>
                                      <w:szCs w:val="4"/>
                                    </w:rPr>
                                  </w:r>
                                </w:p>
                              </w:tc>
                              <w:tc>
                                <w:tcPr>
                                  <w:tcW w:w="31" w:type="dxa"/>
                                  <w:tcBorders/>
                                </w:tcPr>
                                <w:p>
                                  <w:pPr>
                                    <w:pStyle w:val="TableContents"/>
                                    <w:bidi w:val="0"/>
                                    <w:spacing w:before="0" w:after="283"/>
                                    <w:jc w:val="left"/>
                                    <w:rPr>
                                      <w:sz w:val="4"/>
                                      <w:szCs w:val="4"/>
                                    </w:rPr>
                                  </w:pPr>
                                  <w:r>
                                    <w:rPr>
                                      <w:sz w:val="4"/>
                                      <w:szCs w:val="4"/>
                                    </w:rPr>
                                  </w:r>
                                </w:p>
                              </w:tc>
                            </w:tr>
                            <w:tr>
                              <w:trPr/>
                              <w:tc>
                                <w:tcPr>
                                  <w:tcW w:w="3934" w:type="dxa"/>
                                  <w:vMerge w:val="restart"/>
                                  <w:tcBorders/>
                                  <w:vAlign w:val="bottom"/>
                                </w:tcPr>
                                <w:p>
                                  <w:pPr>
                                    <w:pStyle w:val="TableContents"/>
                                    <w:bidi w:val="0"/>
                                    <w:spacing w:before="0" w:after="0"/>
                                    <w:jc w:val="left"/>
                                    <w:rPr/>
                                  </w:pPr>
                                  <w:hyperlink w:anchor="toca98164_4">
                                    <w:r>
                                      <w:rPr>
                                        <w:rStyle w:val="InternetLink"/>
                                        <w:rFonts w:ascii="Times New Roman" w:hAnsi="Times New Roman"/>
                                        <w:sz w:val="20"/>
                                      </w:rPr>
                                      <w:t>Cautionary Note Regarding Forward-Looking Statements and Industry Data</w:t>
                                    </w:r>
                                  </w:hyperlink>
                                </w:p>
                              </w:tc>
                              <w:tc>
                                <w:tcPr>
                                  <w:tcW w:w="274" w:type="dxa"/>
                                  <w:vMerge w:val="restart"/>
                                  <w:tcBorders/>
                                  <w:vAlign w:val="bottom"/>
                                </w:tcPr>
                                <w:p>
                                  <w:pPr>
                                    <w:pStyle w:val="TableContents"/>
                                    <w:bidi w:val="0"/>
                                    <w:spacing w:before="0" w:after="283"/>
                                    <w:jc w:val="left"/>
                                    <w:rPr/>
                                  </w:pPr>
                                  <w:r>
                                    <w:rPr/>
                                    <w:t>  </w:t>
                                  </w:r>
                                </w:p>
                              </w:tc>
                              <w:tc>
                                <w:tcPr>
                                  <w:tcW w:w="47" w:type="dxa"/>
                                  <w:vMerge w:val="restart"/>
                                  <w:tcBorders/>
                                  <w:vAlign w:val="bottom"/>
                                </w:tcPr>
                                <w:p>
                                  <w:pPr>
                                    <w:pStyle w:val="TableContents"/>
                                    <w:bidi w:val="0"/>
                                    <w:spacing w:before="0" w:after="283"/>
                                    <w:jc w:val="left"/>
                                    <w:rPr/>
                                  </w:pPr>
                                  <w:r>
                                    <w:rPr/>
                                    <w:t> </w:t>
                                  </w:r>
                                </w:p>
                              </w:tc>
                              <w:tc>
                                <w:tcPr>
                                  <w:tcW w:w="207" w:type="dxa"/>
                                  <w:vMerge w:val="restart"/>
                                  <w:tcBorders/>
                                  <w:vAlign w:val="bottom"/>
                                </w:tcPr>
                                <w:p>
                                  <w:pPr>
                                    <w:pStyle w:val="TableContents"/>
                                    <w:bidi w:val="0"/>
                                    <w:spacing w:before="0" w:after="283"/>
                                    <w:jc w:val="right"/>
                                    <w:rPr/>
                                  </w:pPr>
                                  <w:r>
                                    <w:rPr/>
                                    <w:t>3</w:t>
                                  </w:r>
                                </w:p>
                              </w:tc>
                              <w:tc>
                                <w:tcPr>
                                  <w:tcW w:w="30" w:type="dxa"/>
                                  <w:vMerge w:val="restart"/>
                                  <w:tcBorders/>
                                  <w:vAlign w:val="bottom"/>
                                </w:tcPr>
                                <w:p>
                                  <w:pPr>
                                    <w:pStyle w:val="TableContents"/>
                                    <w:bidi w:val="0"/>
                                    <w:spacing w:before="0" w:after="283"/>
                                    <w:jc w:val="left"/>
                                    <w:rPr/>
                                  </w:pPr>
                                  <w:r>
                                    <w:rPr/>
                                    <w:t> </w:t>
                                  </w:r>
                                </w:p>
                              </w:tc>
                              <w:tc>
                                <w:tcPr>
                                  <w:tcW w:w="320"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69" w:type="dxa"/>
                                  <w:tcBorders/>
                                </w:tcPr>
                                <w:p>
                                  <w:pPr>
                                    <w:pStyle w:val="TableContents"/>
                                    <w:bidi w:val="0"/>
                                    <w:spacing w:before="0" w:after="283"/>
                                    <w:jc w:val="left"/>
                                    <w:rPr>
                                      <w:sz w:val="4"/>
                                      <w:szCs w:val="4"/>
                                    </w:rPr>
                                  </w:pPr>
                                  <w:r>
                                    <w:rPr>
                                      <w:sz w:val="4"/>
                                      <w:szCs w:val="4"/>
                                    </w:rPr>
                                  </w:r>
                                </w:p>
                              </w:tc>
                              <w:tc>
                                <w:tcPr>
                                  <w:tcW w:w="31" w:type="dxa"/>
                                  <w:tcBorders/>
                                </w:tcPr>
                                <w:p>
                                  <w:pPr>
                                    <w:pStyle w:val="TableContents"/>
                                    <w:bidi w:val="0"/>
                                    <w:spacing w:before="0" w:after="283"/>
                                    <w:jc w:val="left"/>
                                    <w:rPr>
                                      <w:sz w:val="4"/>
                                      <w:szCs w:val="4"/>
                                    </w:rPr>
                                  </w:pPr>
                                  <w:r>
                                    <w:rPr>
                                      <w:sz w:val="4"/>
                                      <w:szCs w:val="4"/>
                                    </w:rPr>
                                  </w:r>
                                </w:p>
                              </w:tc>
                            </w:tr>
                            <w:tr>
                              <w:trPr/>
                              <w:tc>
                                <w:tcPr>
                                  <w:tcW w:w="3934" w:type="dxa"/>
                                  <w:vMerge w:val="continue"/>
                                  <w:tcBorders/>
                                  <w:vAlign w:val="bottom"/>
                                </w:tcPr>
                                <w:p>
                                  <w:pPr>
                                    <w:pStyle w:val="Normal"/>
                                    <w:bidi w:val="0"/>
                                    <w:jc w:val="left"/>
                                    <w:rPr/>
                                  </w:pPr>
                                  <w:r>
                                    <w:rPr/>
                                  </w:r>
                                </w:p>
                              </w:tc>
                              <w:tc>
                                <w:tcPr>
                                  <w:tcW w:w="274" w:type="dxa"/>
                                  <w:vMerge w:val="continue"/>
                                  <w:tcBorders/>
                                  <w:vAlign w:val="bottom"/>
                                </w:tcPr>
                                <w:p>
                                  <w:pPr>
                                    <w:pStyle w:val="Normal"/>
                                    <w:bidi w:val="0"/>
                                    <w:jc w:val="left"/>
                                    <w:rPr/>
                                  </w:pPr>
                                  <w:r>
                                    <w:rPr/>
                                  </w:r>
                                </w:p>
                              </w:tc>
                              <w:tc>
                                <w:tcPr>
                                  <w:tcW w:w="47" w:type="dxa"/>
                                  <w:vMerge w:val="continue"/>
                                  <w:tcBorders/>
                                  <w:vAlign w:val="bottom"/>
                                </w:tcPr>
                                <w:p>
                                  <w:pPr>
                                    <w:pStyle w:val="Normal"/>
                                    <w:bidi w:val="0"/>
                                    <w:jc w:val="left"/>
                                    <w:rPr/>
                                  </w:pPr>
                                  <w:r>
                                    <w:rPr/>
                                  </w:r>
                                </w:p>
                              </w:tc>
                              <w:tc>
                                <w:tcPr>
                                  <w:tcW w:w="207" w:type="dxa"/>
                                  <w:vMerge w:val="continue"/>
                                  <w:tcBorders/>
                                  <w:vAlign w:val="bottom"/>
                                </w:tcPr>
                                <w:p>
                                  <w:pPr>
                                    <w:pStyle w:val="Normal"/>
                                    <w:bidi w:val="0"/>
                                    <w:jc w:val="left"/>
                                    <w:rPr/>
                                  </w:pPr>
                                  <w:r>
                                    <w:rPr/>
                                  </w:r>
                                </w:p>
                              </w:tc>
                              <w:tc>
                                <w:tcPr>
                                  <w:tcW w:w="30" w:type="dxa"/>
                                  <w:vMerge w:val="continue"/>
                                  <w:tcBorders/>
                                  <w:vAlign w:val="bottom"/>
                                </w:tcPr>
                                <w:p>
                                  <w:pPr>
                                    <w:pStyle w:val="Normal"/>
                                    <w:bidi w:val="0"/>
                                    <w:jc w:val="left"/>
                                    <w:rPr/>
                                  </w:pPr>
                                  <w:r>
                                    <w:rPr/>
                                  </w:r>
                                </w:p>
                              </w:tc>
                              <w:tc>
                                <w:tcPr>
                                  <w:tcW w:w="320" w:type="dxa"/>
                                  <w:tcBorders/>
                                  <w:vAlign w:val="bottom"/>
                                </w:tcPr>
                                <w:p>
                                  <w:pPr>
                                    <w:pStyle w:val="TableContents"/>
                                    <w:bidi w:val="0"/>
                                    <w:spacing w:before="0" w:after="0"/>
                                    <w:jc w:val="left"/>
                                    <w:rPr/>
                                  </w:pPr>
                                  <w:hyperlink w:anchor="toca98164_5">
                                    <w:r>
                                      <w:rPr>
                                        <w:rStyle w:val="InternetLink"/>
                                        <w:rFonts w:ascii="Times New Roman" w:hAnsi="Times New Roman"/>
                                        <w:sz w:val="20"/>
                                      </w:rPr>
                                      <w:t>Risk Factors</w:t>
                                    </w:r>
                                  </w:hyperlink>
                                </w:p>
                              </w:tc>
                              <w:tc>
                                <w:tcPr>
                                  <w:tcW w:w="59"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right"/>
                                    <w:rPr/>
                                  </w:pPr>
                                  <w:r>
                                    <w:rPr/>
                                    <w:t>5</w:t>
                                  </w:r>
                                </w:p>
                              </w:tc>
                              <w:tc>
                                <w:tcPr>
                                  <w:tcW w:w="31" w:type="dxa"/>
                                  <w:tcBorders/>
                                  <w:vAlign w:val="bottom"/>
                                </w:tcPr>
                                <w:p>
                                  <w:pPr>
                                    <w:pStyle w:val="TableContents"/>
                                    <w:bidi w:val="0"/>
                                    <w:spacing w:before="0" w:after="283"/>
                                    <w:jc w:val="left"/>
                                    <w:rPr/>
                                  </w:pPr>
                                  <w:r>
                                    <w:rPr/>
                                    <w:t> </w:t>
                                  </w:r>
                                </w:p>
                              </w:tc>
                            </w:tr>
                            <w:tr>
                              <w:trPr/>
                              <w:tc>
                                <w:tcPr>
                                  <w:tcW w:w="3934" w:type="dxa"/>
                                  <w:tcBorders/>
                                  <w:vAlign w:val="bottom"/>
                                </w:tcPr>
                                <w:p>
                                  <w:pPr>
                                    <w:pStyle w:val="TableContents"/>
                                    <w:bidi w:val="0"/>
                                    <w:spacing w:before="0" w:after="0"/>
                                    <w:jc w:val="left"/>
                                    <w:rPr/>
                                  </w:pPr>
                                  <w:hyperlink w:anchor="toca98164_6">
                                    <w:r>
                                      <w:rPr>
                                        <w:rStyle w:val="InternetLink"/>
                                        <w:rFonts w:ascii="Times New Roman" w:hAnsi="Times New Roman"/>
                                        <w:sz w:val="20"/>
                                      </w:rPr>
                                      <w:t>About Dyne Therapeutics, Inc.</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6</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7">
                                    <w:r>
                                      <w:rPr>
                                        <w:rStyle w:val="InternetLink"/>
                                        <w:rFonts w:ascii="Times New Roman" w:hAnsi="Times New Roman"/>
                                        <w:sz w:val="20"/>
                                      </w:rPr>
                                      <w:t>Use of Proceeds</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7</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8">
                                    <w:r>
                                      <w:rPr>
                                        <w:rStyle w:val="InternetLink"/>
                                        <w:rFonts w:ascii="Times New Roman" w:hAnsi="Times New Roman"/>
                                        <w:sz w:val="20"/>
                                      </w:rPr>
                                      <w:t>Description of Debt Securities</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8</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9">
                                    <w:r>
                                      <w:rPr>
                                        <w:rStyle w:val="InternetLink"/>
                                        <w:rFonts w:ascii="Times New Roman" w:hAnsi="Times New Roman"/>
                                        <w:sz w:val="20"/>
                                      </w:rPr>
                                      <w:t>Description of Capital Stock</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18</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10">
                                    <w:r>
                                      <w:rPr>
                                        <w:rStyle w:val="InternetLink"/>
                                        <w:rFonts w:ascii="Times New Roman" w:hAnsi="Times New Roman"/>
                                        <w:sz w:val="20"/>
                                      </w:rPr>
                                      <w:t>Description of Warrants</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26</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11">
                                    <w:r>
                                      <w:rPr>
                                        <w:rStyle w:val="InternetLink"/>
                                        <w:rFonts w:ascii="Times New Roman" w:hAnsi="Times New Roman"/>
                                        <w:sz w:val="20"/>
                                      </w:rPr>
                                      <w:t>Description of Units</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27</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12">
                                    <w:r>
                                      <w:rPr>
                                        <w:rStyle w:val="InternetLink"/>
                                        <w:rFonts w:ascii="Times New Roman" w:hAnsi="Times New Roman"/>
                                        <w:sz w:val="20"/>
                                      </w:rPr>
                                      <w:t>Forms of Securities</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28</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13">
                                    <w:r>
                                      <w:rPr>
                                        <w:rStyle w:val="InternetLink"/>
                                        <w:rFonts w:ascii="Times New Roman" w:hAnsi="Times New Roman"/>
                                        <w:sz w:val="20"/>
                                      </w:rPr>
                                      <w:t>Plan of Distribution</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30</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14">
                                    <w:r>
                                      <w:rPr>
                                        <w:rStyle w:val="InternetLink"/>
                                        <w:rFonts w:ascii="Times New Roman" w:hAnsi="Times New Roman"/>
                                        <w:sz w:val="20"/>
                                      </w:rPr>
                                      <w:t>Legal Matters</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33</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15">
                                    <w:r>
                                      <w:rPr>
                                        <w:rStyle w:val="InternetLink"/>
                                        <w:rFonts w:ascii="Times New Roman" w:hAnsi="Times New Roman"/>
                                        <w:sz w:val="20"/>
                                      </w:rPr>
                                      <w:t>Experts</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33</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36.1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34"/>
                        <w:gridCol w:w="274"/>
                        <w:gridCol w:w="47"/>
                        <w:gridCol w:w="207"/>
                        <w:gridCol w:w="30"/>
                        <w:gridCol w:w="320"/>
                        <w:gridCol w:w="59"/>
                        <w:gridCol w:w="29"/>
                        <w:gridCol w:w="69"/>
                        <w:gridCol w:w="31"/>
                      </w:tblGrid>
                      <w:tr>
                        <w:trPr/>
                        <w:tc>
                          <w:tcPr>
                            <w:tcW w:w="3934"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20"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69" w:type="dxa"/>
                            <w:tcBorders/>
                          </w:tcPr>
                          <w:p>
                            <w:pPr>
                              <w:pStyle w:val="TableContents"/>
                              <w:bidi w:val="0"/>
                              <w:spacing w:before="0" w:after="283"/>
                              <w:jc w:val="left"/>
                              <w:rPr>
                                <w:sz w:val="4"/>
                                <w:szCs w:val="4"/>
                              </w:rPr>
                            </w:pPr>
                            <w:r>
                              <w:rPr>
                                <w:sz w:val="4"/>
                                <w:szCs w:val="4"/>
                              </w:rPr>
                            </w:r>
                          </w:p>
                        </w:tc>
                        <w:tc>
                          <w:tcPr>
                            <w:tcW w:w="31" w:type="dxa"/>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c>
                          <w:tcPr>
                            <w:tcW w:w="320"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69" w:type="dxa"/>
                            <w:tcBorders/>
                          </w:tcPr>
                          <w:p>
                            <w:pPr>
                              <w:pStyle w:val="TableContents"/>
                              <w:bidi w:val="0"/>
                              <w:spacing w:before="0" w:after="283"/>
                              <w:jc w:val="left"/>
                              <w:rPr>
                                <w:sz w:val="4"/>
                                <w:szCs w:val="4"/>
                              </w:rPr>
                            </w:pPr>
                            <w:r>
                              <w:rPr>
                                <w:sz w:val="4"/>
                                <w:szCs w:val="4"/>
                              </w:rPr>
                            </w:r>
                          </w:p>
                        </w:tc>
                        <w:tc>
                          <w:tcPr>
                            <w:tcW w:w="31" w:type="dxa"/>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1">
                              <w:r>
                                <w:rPr>
                                  <w:rStyle w:val="InternetLink"/>
                                  <w:rFonts w:ascii="Times New Roman" w:hAnsi="Times New Roman"/>
                                  <w:sz w:val="20"/>
                                </w:rPr>
                                <w:t>About This Prospectus</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1</w:t>
                            </w:r>
                          </w:p>
                        </w:tc>
                        <w:tc>
                          <w:tcPr>
                            <w:tcW w:w="30" w:type="dxa"/>
                            <w:tcBorders/>
                            <w:vAlign w:val="bottom"/>
                          </w:tcPr>
                          <w:p>
                            <w:pPr>
                              <w:pStyle w:val="TableContents"/>
                              <w:bidi w:val="0"/>
                              <w:spacing w:before="0" w:after="283"/>
                              <w:jc w:val="left"/>
                              <w:rPr/>
                            </w:pPr>
                            <w:r>
                              <w:rPr/>
                              <w:t> </w:t>
                            </w:r>
                          </w:p>
                        </w:tc>
                        <w:tc>
                          <w:tcPr>
                            <w:tcW w:w="320"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69" w:type="dxa"/>
                            <w:tcBorders/>
                          </w:tcPr>
                          <w:p>
                            <w:pPr>
                              <w:pStyle w:val="TableContents"/>
                              <w:bidi w:val="0"/>
                              <w:spacing w:before="0" w:after="283"/>
                              <w:jc w:val="left"/>
                              <w:rPr>
                                <w:sz w:val="4"/>
                                <w:szCs w:val="4"/>
                              </w:rPr>
                            </w:pPr>
                            <w:r>
                              <w:rPr>
                                <w:sz w:val="4"/>
                                <w:szCs w:val="4"/>
                              </w:rPr>
                            </w:r>
                          </w:p>
                        </w:tc>
                        <w:tc>
                          <w:tcPr>
                            <w:tcW w:w="31" w:type="dxa"/>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2">
                              <w:r>
                                <w:rPr>
                                  <w:rStyle w:val="InternetLink"/>
                                  <w:rFonts w:ascii="Times New Roman" w:hAnsi="Times New Roman"/>
                                  <w:sz w:val="20"/>
                                </w:rPr>
                                <w:t>Where You Can Find More Information</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2</w:t>
                            </w:r>
                          </w:p>
                        </w:tc>
                        <w:tc>
                          <w:tcPr>
                            <w:tcW w:w="30" w:type="dxa"/>
                            <w:tcBorders/>
                            <w:vAlign w:val="bottom"/>
                          </w:tcPr>
                          <w:p>
                            <w:pPr>
                              <w:pStyle w:val="TableContents"/>
                              <w:bidi w:val="0"/>
                              <w:spacing w:before="0" w:after="283"/>
                              <w:jc w:val="left"/>
                              <w:rPr/>
                            </w:pPr>
                            <w:r>
                              <w:rPr/>
                              <w:t> </w:t>
                            </w:r>
                          </w:p>
                        </w:tc>
                        <w:tc>
                          <w:tcPr>
                            <w:tcW w:w="320"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69" w:type="dxa"/>
                            <w:tcBorders/>
                          </w:tcPr>
                          <w:p>
                            <w:pPr>
                              <w:pStyle w:val="TableContents"/>
                              <w:bidi w:val="0"/>
                              <w:spacing w:before="0" w:after="283"/>
                              <w:jc w:val="left"/>
                              <w:rPr>
                                <w:sz w:val="4"/>
                                <w:szCs w:val="4"/>
                              </w:rPr>
                            </w:pPr>
                            <w:r>
                              <w:rPr>
                                <w:sz w:val="4"/>
                                <w:szCs w:val="4"/>
                              </w:rPr>
                            </w:r>
                          </w:p>
                        </w:tc>
                        <w:tc>
                          <w:tcPr>
                            <w:tcW w:w="31" w:type="dxa"/>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3">
                              <w:r>
                                <w:rPr>
                                  <w:rStyle w:val="InternetLink"/>
                                  <w:rFonts w:ascii="Times New Roman" w:hAnsi="Times New Roman"/>
                                  <w:sz w:val="20"/>
                                </w:rPr>
                                <w:t>Incorporation by Reference</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2</w:t>
                            </w:r>
                          </w:p>
                        </w:tc>
                        <w:tc>
                          <w:tcPr>
                            <w:tcW w:w="30" w:type="dxa"/>
                            <w:tcBorders/>
                            <w:vAlign w:val="bottom"/>
                          </w:tcPr>
                          <w:p>
                            <w:pPr>
                              <w:pStyle w:val="TableContents"/>
                              <w:bidi w:val="0"/>
                              <w:spacing w:before="0" w:after="283"/>
                              <w:jc w:val="left"/>
                              <w:rPr/>
                            </w:pPr>
                            <w:r>
                              <w:rPr/>
                              <w:t> </w:t>
                            </w:r>
                          </w:p>
                        </w:tc>
                        <w:tc>
                          <w:tcPr>
                            <w:tcW w:w="320"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69" w:type="dxa"/>
                            <w:tcBorders/>
                          </w:tcPr>
                          <w:p>
                            <w:pPr>
                              <w:pStyle w:val="TableContents"/>
                              <w:bidi w:val="0"/>
                              <w:spacing w:before="0" w:after="283"/>
                              <w:jc w:val="left"/>
                              <w:rPr>
                                <w:sz w:val="4"/>
                                <w:szCs w:val="4"/>
                              </w:rPr>
                            </w:pPr>
                            <w:r>
                              <w:rPr>
                                <w:sz w:val="4"/>
                                <w:szCs w:val="4"/>
                              </w:rPr>
                            </w:r>
                          </w:p>
                        </w:tc>
                        <w:tc>
                          <w:tcPr>
                            <w:tcW w:w="31" w:type="dxa"/>
                            <w:tcBorders/>
                          </w:tcPr>
                          <w:p>
                            <w:pPr>
                              <w:pStyle w:val="TableContents"/>
                              <w:bidi w:val="0"/>
                              <w:spacing w:before="0" w:after="283"/>
                              <w:jc w:val="left"/>
                              <w:rPr>
                                <w:sz w:val="4"/>
                                <w:szCs w:val="4"/>
                              </w:rPr>
                            </w:pPr>
                            <w:r>
                              <w:rPr>
                                <w:sz w:val="4"/>
                                <w:szCs w:val="4"/>
                              </w:rPr>
                            </w:r>
                          </w:p>
                        </w:tc>
                      </w:tr>
                      <w:tr>
                        <w:trPr/>
                        <w:tc>
                          <w:tcPr>
                            <w:tcW w:w="3934" w:type="dxa"/>
                            <w:vMerge w:val="restart"/>
                            <w:tcBorders/>
                            <w:vAlign w:val="bottom"/>
                          </w:tcPr>
                          <w:p>
                            <w:pPr>
                              <w:pStyle w:val="TableContents"/>
                              <w:bidi w:val="0"/>
                              <w:spacing w:before="0" w:after="0"/>
                              <w:jc w:val="left"/>
                              <w:rPr/>
                            </w:pPr>
                            <w:hyperlink w:anchor="toca98164_4">
                              <w:r>
                                <w:rPr>
                                  <w:rStyle w:val="InternetLink"/>
                                  <w:rFonts w:ascii="Times New Roman" w:hAnsi="Times New Roman"/>
                                  <w:sz w:val="20"/>
                                </w:rPr>
                                <w:t>Cautionary Note Regarding Forward-Looking Statements and Industry Data</w:t>
                              </w:r>
                            </w:hyperlink>
                          </w:p>
                        </w:tc>
                        <w:tc>
                          <w:tcPr>
                            <w:tcW w:w="274" w:type="dxa"/>
                            <w:vMerge w:val="restart"/>
                            <w:tcBorders/>
                            <w:vAlign w:val="bottom"/>
                          </w:tcPr>
                          <w:p>
                            <w:pPr>
                              <w:pStyle w:val="TableContents"/>
                              <w:bidi w:val="0"/>
                              <w:spacing w:before="0" w:after="283"/>
                              <w:jc w:val="left"/>
                              <w:rPr/>
                            </w:pPr>
                            <w:r>
                              <w:rPr/>
                              <w:t>  </w:t>
                            </w:r>
                          </w:p>
                        </w:tc>
                        <w:tc>
                          <w:tcPr>
                            <w:tcW w:w="47" w:type="dxa"/>
                            <w:vMerge w:val="restart"/>
                            <w:tcBorders/>
                            <w:vAlign w:val="bottom"/>
                          </w:tcPr>
                          <w:p>
                            <w:pPr>
                              <w:pStyle w:val="TableContents"/>
                              <w:bidi w:val="0"/>
                              <w:spacing w:before="0" w:after="283"/>
                              <w:jc w:val="left"/>
                              <w:rPr/>
                            </w:pPr>
                            <w:r>
                              <w:rPr/>
                              <w:t> </w:t>
                            </w:r>
                          </w:p>
                        </w:tc>
                        <w:tc>
                          <w:tcPr>
                            <w:tcW w:w="207" w:type="dxa"/>
                            <w:vMerge w:val="restart"/>
                            <w:tcBorders/>
                            <w:vAlign w:val="bottom"/>
                          </w:tcPr>
                          <w:p>
                            <w:pPr>
                              <w:pStyle w:val="TableContents"/>
                              <w:bidi w:val="0"/>
                              <w:spacing w:before="0" w:after="283"/>
                              <w:jc w:val="right"/>
                              <w:rPr/>
                            </w:pPr>
                            <w:r>
                              <w:rPr/>
                              <w:t>3</w:t>
                            </w:r>
                          </w:p>
                        </w:tc>
                        <w:tc>
                          <w:tcPr>
                            <w:tcW w:w="30" w:type="dxa"/>
                            <w:vMerge w:val="restart"/>
                            <w:tcBorders/>
                            <w:vAlign w:val="bottom"/>
                          </w:tcPr>
                          <w:p>
                            <w:pPr>
                              <w:pStyle w:val="TableContents"/>
                              <w:bidi w:val="0"/>
                              <w:spacing w:before="0" w:after="283"/>
                              <w:jc w:val="left"/>
                              <w:rPr/>
                            </w:pPr>
                            <w:r>
                              <w:rPr/>
                              <w:t> </w:t>
                            </w:r>
                          </w:p>
                        </w:tc>
                        <w:tc>
                          <w:tcPr>
                            <w:tcW w:w="320"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29" w:type="dxa"/>
                            <w:tcBorders/>
                          </w:tcPr>
                          <w:p>
                            <w:pPr>
                              <w:pStyle w:val="TableContents"/>
                              <w:bidi w:val="0"/>
                              <w:spacing w:before="0" w:after="283"/>
                              <w:jc w:val="left"/>
                              <w:rPr>
                                <w:sz w:val="4"/>
                                <w:szCs w:val="4"/>
                              </w:rPr>
                            </w:pPr>
                            <w:r>
                              <w:rPr>
                                <w:sz w:val="4"/>
                                <w:szCs w:val="4"/>
                              </w:rPr>
                            </w:r>
                          </w:p>
                        </w:tc>
                        <w:tc>
                          <w:tcPr>
                            <w:tcW w:w="69" w:type="dxa"/>
                            <w:tcBorders/>
                          </w:tcPr>
                          <w:p>
                            <w:pPr>
                              <w:pStyle w:val="TableContents"/>
                              <w:bidi w:val="0"/>
                              <w:spacing w:before="0" w:after="283"/>
                              <w:jc w:val="left"/>
                              <w:rPr>
                                <w:sz w:val="4"/>
                                <w:szCs w:val="4"/>
                              </w:rPr>
                            </w:pPr>
                            <w:r>
                              <w:rPr>
                                <w:sz w:val="4"/>
                                <w:szCs w:val="4"/>
                              </w:rPr>
                            </w:r>
                          </w:p>
                        </w:tc>
                        <w:tc>
                          <w:tcPr>
                            <w:tcW w:w="31" w:type="dxa"/>
                            <w:tcBorders/>
                          </w:tcPr>
                          <w:p>
                            <w:pPr>
                              <w:pStyle w:val="TableContents"/>
                              <w:bidi w:val="0"/>
                              <w:spacing w:before="0" w:after="283"/>
                              <w:jc w:val="left"/>
                              <w:rPr>
                                <w:sz w:val="4"/>
                                <w:szCs w:val="4"/>
                              </w:rPr>
                            </w:pPr>
                            <w:r>
                              <w:rPr>
                                <w:sz w:val="4"/>
                                <w:szCs w:val="4"/>
                              </w:rPr>
                            </w:r>
                          </w:p>
                        </w:tc>
                      </w:tr>
                      <w:tr>
                        <w:trPr/>
                        <w:tc>
                          <w:tcPr>
                            <w:tcW w:w="3934" w:type="dxa"/>
                            <w:vMerge w:val="continue"/>
                            <w:tcBorders/>
                            <w:vAlign w:val="bottom"/>
                          </w:tcPr>
                          <w:p>
                            <w:pPr>
                              <w:pStyle w:val="Normal"/>
                              <w:bidi w:val="0"/>
                              <w:jc w:val="left"/>
                              <w:rPr/>
                            </w:pPr>
                            <w:r>
                              <w:rPr/>
                            </w:r>
                          </w:p>
                        </w:tc>
                        <w:tc>
                          <w:tcPr>
                            <w:tcW w:w="274" w:type="dxa"/>
                            <w:vMerge w:val="continue"/>
                            <w:tcBorders/>
                            <w:vAlign w:val="bottom"/>
                          </w:tcPr>
                          <w:p>
                            <w:pPr>
                              <w:pStyle w:val="Normal"/>
                              <w:bidi w:val="0"/>
                              <w:jc w:val="left"/>
                              <w:rPr/>
                            </w:pPr>
                            <w:r>
                              <w:rPr/>
                            </w:r>
                          </w:p>
                        </w:tc>
                        <w:tc>
                          <w:tcPr>
                            <w:tcW w:w="47" w:type="dxa"/>
                            <w:vMerge w:val="continue"/>
                            <w:tcBorders/>
                            <w:vAlign w:val="bottom"/>
                          </w:tcPr>
                          <w:p>
                            <w:pPr>
                              <w:pStyle w:val="Normal"/>
                              <w:bidi w:val="0"/>
                              <w:jc w:val="left"/>
                              <w:rPr/>
                            </w:pPr>
                            <w:r>
                              <w:rPr/>
                            </w:r>
                          </w:p>
                        </w:tc>
                        <w:tc>
                          <w:tcPr>
                            <w:tcW w:w="207" w:type="dxa"/>
                            <w:vMerge w:val="continue"/>
                            <w:tcBorders/>
                            <w:vAlign w:val="bottom"/>
                          </w:tcPr>
                          <w:p>
                            <w:pPr>
                              <w:pStyle w:val="Normal"/>
                              <w:bidi w:val="0"/>
                              <w:jc w:val="left"/>
                              <w:rPr/>
                            </w:pPr>
                            <w:r>
                              <w:rPr/>
                            </w:r>
                          </w:p>
                        </w:tc>
                        <w:tc>
                          <w:tcPr>
                            <w:tcW w:w="30" w:type="dxa"/>
                            <w:vMerge w:val="continue"/>
                            <w:tcBorders/>
                            <w:vAlign w:val="bottom"/>
                          </w:tcPr>
                          <w:p>
                            <w:pPr>
                              <w:pStyle w:val="Normal"/>
                              <w:bidi w:val="0"/>
                              <w:jc w:val="left"/>
                              <w:rPr/>
                            </w:pPr>
                            <w:r>
                              <w:rPr/>
                            </w:r>
                          </w:p>
                        </w:tc>
                        <w:tc>
                          <w:tcPr>
                            <w:tcW w:w="320" w:type="dxa"/>
                            <w:tcBorders/>
                            <w:vAlign w:val="bottom"/>
                          </w:tcPr>
                          <w:p>
                            <w:pPr>
                              <w:pStyle w:val="TableContents"/>
                              <w:bidi w:val="0"/>
                              <w:spacing w:before="0" w:after="0"/>
                              <w:jc w:val="left"/>
                              <w:rPr/>
                            </w:pPr>
                            <w:hyperlink w:anchor="toca98164_5">
                              <w:r>
                                <w:rPr>
                                  <w:rStyle w:val="InternetLink"/>
                                  <w:rFonts w:ascii="Times New Roman" w:hAnsi="Times New Roman"/>
                                  <w:sz w:val="20"/>
                                </w:rPr>
                                <w:t>Risk Factors</w:t>
                              </w:r>
                            </w:hyperlink>
                          </w:p>
                        </w:tc>
                        <w:tc>
                          <w:tcPr>
                            <w:tcW w:w="59" w:type="dxa"/>
                            <w:tcBorders/>
                            <w:vAlign w:val="bottom"/>
                          </w:tcPr>
                          <w:p>
                            <w:pPr>
                              <w:pStyle w:val="TableContents"/>
                              <w:bidi w:val="0"/>
                              <w:spacing w:before="0" w:after="283"/>
                              <w:jc w:val="left"/>
                              <w:rPr/>
                            </w:pPr>
                            <w:r>
                              <w:rPr/>
                              <w:t>  </w:t>
                            </w:r>
                          </w:p>
                        </w:tc>
                        <w:tc>
                          <w:tcPr>
                            <w:tcW w:w="2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right"/>
                              <w:rPr/>
                            </w:pPr>
                            <w:r>
                              <w:rPr/>
                              <w:t>5</w:t>
                            </w:r>
                          </w:p>
                        </w:tc>
                        <w:tc>
                          <w:tcPr>
                            <w:tcW w:w="31" w:type="dxa"/>
                            <w:tcBorders/>
                            <w:vAlign w:val="bottom"/>
                          </w:tcPr>
                          <w:p>
                            <w:pPr>
                              <w:pStyle w:val="TableContents"/>
                              <w:bidi w:val="0"/>
                              <w:spacing w:before="0" w:after="283"/>
                              <w:jc w:val="left"/>
                              <w:rPr/>
                            </w:pPr>
                            <w:r>
                              <w:rPr/>
                              <w:t> </w:t>
                            </w:r>
                          </w:p>
                        </w:tc>
                      </w:tr>
                      <w:tr>
                        <w:trPr/>
                        <w:tc>
                          <w:tcPr>
                            <w:tcW w:w="3934" w:type="dxa"/>
                            <w:tcBorders/>
                            <w:vAlign w:val="bottom"/>
                          </w:tcPr>
                          <w:p>
                            <w:pPr>
                              <w:pStyle w:val="TableContents"/>
                              <w:bidi w:val="0"/>
                              <w:spacing w:before="0" w:after="0"/>
                              <w:jc w:val="left"/>
                              <w:rPr/>
                            </w:pPr>
                            <w:hyperlink w:anchor="toca98164_6">
                              <w:r>
                                <w:rPr>
                                  <w:rStyle w:val="InternetLink"/>
                                  <w:rFonts w:ascii="Times New Roman" w:hAnsi="Times New Roman"/>
                                  <w:sz w:val="20"/>
                                </w:rPr>
                                <w:t>About Dyne Therapeutics, Inc.</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6</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7">
                              <w:r>
                                <w:rPr>
                                  <w:rStyle w:val="InternetLink"/>
                                  <w:rFonts w:ascii="Times New Roman" w:hAnsi="Times New Roman"/>
                                  <w:sz w:val="20"/>
                                </w:rPr>
                                <w:t>Use of Proceeds</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7</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8">
                              <w:r>
                                <w:rPr>
                                  <w:rStyle w:val="InternetLink"/>
                                  <w:rFonts w:ascii="Times New Roman" w:hAnsi="Times New Roman"/>
                                  <w:sz w:val="20"/>
                                </w:rPr>
                                <w:t>Description of Debt Securities</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8</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9">
                              <w:r>
                                <w:rPr>
                                  <w:rStyle w:val="InternetLink"/>
                                  <w:rFonts w:ascii="Times New Roman" w:hAnsi="Times New Roman"/>
                                  <w:sz w:val="20"/>
                                </w:rPr>
                                <w:t>Description of Capital Stock</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18</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10">
                              <w:r>
                                <w:rPr>
                                  <w:rStyle w:val="InternetLink"/>
                                  <w:rFonts w:ascii="Times New Roman" w:hAnsi="Times New Roman"/>
                                  <w:sz w:val="20"/>
                                </w:rPr>
                                <w:t>Description of Warrants</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26</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11">
                              <w:r>
                                <w:rPr>
                                  <w:rStyle w:val="InternetLink"/>
                                  <w:rFonts w:ascii="Times New Roman" w:hAnsi="Times New Roman"/>
                                  <w:sz w:val="20"/>
                                </w:rPr>
                                <w:t>Description of Units</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27</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12">
                              <w:r>
                                <w:rPr>
                                  <w:rStyle w:val="InternetLink"/>
                                  <w:rFonts w:ascii="Times New Roman" w:hAnsi="Times New Roman"/>
                                  <w:sz w:val="20"/>
                                </w:rPr>
                                <w:t>Forms of Securities</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28</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13">
                              <w:r>
                                <w:rPr>
                                  <w:rStyle w:val="InternetLink"/>
                                  <w:rFonts w:ascii="Times New Roman" w:hAnsi="Times New Roman"/>
                                  <w:sz w:val="20"/>
                                </w:rPr>
                                <w:t>Plan of Distribution</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30</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14">
                              <w:r>
                                <w:rPr>
                                  <w:rStyle w:val="InternetLink"/>
                                  <w:rFonts w:ascii="Times New Roman" w:hAnsi="Times New Roman"/>
                                  <w:sz w:val="20"/>
                                </w:rPr>
                                <w:t>Legal Matters</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33</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r>
                        <w:trPr/>
                        <w:tc>
                          <w:tcPr>
                            <w:tcW w:w="3934" w:type="dxa"/>
                            <w:tcBorders/>
                            <w:vAlign w:val="bottom"/>
                          </w:tcPr>
                          <w:p>
                            <w:pPr>
                              <w:pStyle w:val="TableContents"/>
                              <w:bidi w:val="0"/>
                              <w:spacing w:before="0" w:after="0"/>
                              <w:jc w:val="left"/>
                              <w:rPr/>
                            </w:pPr>
                            <w:hyperlink w:anchor="toca98164_15">
                              <w:r>
                                <w:rPr>
                                  <w:rStyle w:val="InternetLink"/>
                                  <w:rFonts w:ascii="Times New Roman" w:hAnsi="Times New Roman"/>
                                  <w:sz w:val="20"/>
                                </w:rPr>
                                <w:t>Experts</w:t>
                              </w:r>
                            </w:hyperlink>
                          </w:p>
                        </w:tc>
                        <w:tc>
                          <w:tcPr>
                            <w:tcW w:w="274" w:type="dxa"/>
                            <w:tcBorders/>
                            <w:vAlign w:val="bottom"/>
                          </w:tcPr>
                          <w:p>
                            <w:pPr>
                              <w:pStyle w:val="TableContents"/>
                              <w:bidi w:val="0"/>
                              <w:spacing w:before="0" w:after="283"/>
                              <w:jc w:val="left"/>
                              <w:rPr/>
                            </w:pPr>
                            <w:r>
                              <w:rPr/>
                              <w:t>  </w:t>
                            </w:r>
                          </w:p>
                        </w:tc>
                        <w:tc>
                          <w:tcPr>
                            <w:tcW w:w="4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right"/>
                              <w:rPr/>
                            </w:pPr>
                            <w:r>
                              <w:rPr/>
                              <w:t>33</w:t>
                            </w:r>
                          </w:p>
                        </w:tc>
                        <w:tc>
                          <w:tcPr>
                            <w:tcW w:w="30" w:type="dxa"/>
                            <w:tcBorders/>
                            <w:vAlign w:val="bottom"/>
                          </w:tcPr>
                          <w:p>
                            <w:pPr>
                              <w:pStyle w:val="TableContents"/>
                              <w:bidi w:val="0"/>
                              <w:spacing w:before="0" w:after="283"/>
                              <w:jc w:val="left"/>
                              <w:rPr/>
                            </w:pPr>
                            <w:r>
                              <w:rPr/>
                              <w:t> </w:t>
                            </w:r>
                          </w:p>
                        </w:tc>
                        <w:tc>
                          <w:tcPr>
                            <w:tcW w:w="508" w:type="dxa"/>
                            <w:gridSpan w:val="5"/>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square" side="right"/>
              </v:rect>
            </w:pict>
          </mc:Fallback>
        </mc:AlternateContent>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oc98164_1"/>
      <w:bookmarkEnd w:id="3"/>
      <w:r>
        <w:rPr>
          <w:rFonts w:ascii="Times New Roman" w:hAnsi="Times New Roman"/>
          <w:b/>
          <w:sz w:val="20"/>
        </w:rPr>
        <w:t xml:space="preserve">ABOUT THIS PROSPECTUS SUPPLEMENT </w:t>
      </w:r>
    </w:p>
    <w:p>
      <w:pPr>
        <w:pStyle w:val="TextBody"/>
        <w:bidi w:val="0"/>
        <w:spacing w:before="240" w:after="0"/>
        <w:jc w:val="both"/>
        <w:rPr>
          <w:rFonts w:ascii="Times New Roman" w:hAnsi="Times New Roman"/>
          <w:sz w:val="20"/>
        </w:rPr>
      </w:pPr>
      <w:r>
        <w:rPr>
          <w:rFonts w:ascii="Times New Roman" w:hAnsi="Times New Roman"/>
          <w:sz w:val="20"/>
        </w:rPr>
        <w:t xml:space="preserve">This document is in two parts. The first part is this prospectus supplement, which describes the specific terms of this offering of common stock and also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 </w:t>
      </w:r>
    </w:p>
    <w:p>
      <w:pPr>
        <w:pStyle w:val="TextBody"/>
        <w:bidi w:val="0"/>
        <w:spacing w:before="240" w:after="0"/>
        <w:jc w:val="both"/>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both"/>
        <w:rPr>
          <w:rFonts w:ascii="Times New Roman" w:hAnsi="Times New Roman"/>
          <w:sz w:val="20"/>
        </w:rPr>
      </w:pPr>
      <w:r>
        <w:rPr>
          <w:rFonts w:ascii="Times New Roman" w:hAnsi="Times New Roman"/>
          <w:sz w:val="20"/>
        </w:rPr>
        <w:t xml:space="preserve">Neither we nor the underwriters have authorized anyone to provide any information other than that contained or incorporated by reference in this prospectus supplement, the accompanying prospectus or in any free writing prospectus prepared by or on behalf of us or to which we have referred you. We and the underwriters take no responsibility for, and can provide no assurance as to the reliability of, any other information that others may give you. This prospectus supplement and the accompanying prospectus do not constitute an offer to sell, or a solicitation of an offer to purchase, the securities offered by this prospectus supplement and the accompanying prospectus in any jurisdiction to or from any person to whom or from whom it is unlawful to make such offer or solicitation of an offer in such jurisdiction. The information contained in this prospectus supplement or the accompanying prospectus, or incorporated by reference herein or therein is accurate only as of the respective dates thereof, regardless of the time of delivery of this prospectus supplement and the accompanying prospectus or of any sale of our common stock. It is important for you to read and consider all information contained in this prospectus supplement and the accompanying prospectus, including the documents incorporated by reference herein and therein, in making your investment decision. You should also read and consider the information in the documents to which we have referred you in the sections entitled “Where You Can Find More Information” and “Incorporation of Certain Information by Reference” in this prospectus supplement and in the accompanying prospectus. </w:t>
      </w:r>
    </w:p>
    <w:p>
      <w:pPr>
        <w:pStyle w:val="TextBody"/>
        <w:bidi w:val="0"/>
        <w:spacing w:before="240" w:after="0"/>
        <w:jc w:val="both"/>
        <w:rPr>
          <w:rFonts w:ascii="Times New Roman" w:hAnsi="Times New Roman"/>
          <w:sz w:val="20"/>
        </w:rPr>
      </w:pPr>
      <w:r>
        <w:rPr>
          <w:rFonts w:ascii="Times New Roman" w:hAnsi="Times New Roman"/>
          <w:sz w:val="20"/>
        </w:rPr>
        <w:t xml:space="preserve">We are offering to sell, and seeking offers to buy, shares of our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 </w:t>
      </w:r>
    </w:p>
    <w:p>
      <w:pPr>
        <w:pStyle w:val="TextBody"/>
        <w:bidi w:val="0"/>
        <w:spacing w:before="240" w:after="0"/>
        <w:jc w:val="both"/>
        <w:rPr>
          <w:rFonts w:ascii="Times New Roman" w:hAnsi="Times New Roman"/>
          <w:sz w:val="20"/>
        </w:rPr>
      </w:pPr>
      <w:r>
        <w:rPr>
          <w:rFonts w:ascii="Times New Roman" w:hAnsi="Times New Roman"/>
          <w:sz w:val="20"/>
        </w:rPr>
        <w:t xml:space="preserve">Unless the context otherwise indicates, references in this prospectus supplement and the accompanying prospectus to the “Company,” “we,” “our” and “us” refer, collectively, to Dyne Therapeutics, Inc., a Delaware corporation, and its consolidated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toc98164_2"/>
      <w:bookmarkEnd w:id="4"/>
      <w:r>
        <w:rPr>
          <w:rFonts w:ascii="Times New Roman" w:hAnsi="Times New Roman"/>
          <w:b/>
          <w:sz w:val="20"/>
        </w:rPr>
        <w:t xml:space="preserve">CAUTIONARY NOTE REGARDING FORWARD-LOOKING STATEMENTS AND INDUSTRY DATA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supplement, the accompanying prospectus and the information incorporated by reference herein and therein contain forward-looking statements within the meaning of the U.S. Private Securities Litigation Reform Act of 1995 and Section 21E of the Exchange Act, that involve substantial risk and uncertainties. All statements, other than statements of historical fact, contained in this prospectus supplement, the accompanying prospectus and the information incorporated herein by reference herein and therein, including statements regarding our strategy, future operations, future financial position, future revenue, projected costs, prospects, plans and objectives of management, are forward-looking statements. The words “anticipate,” “believe,” “continue,” “could,” “estimate,” “expect,” “intend,” “may,” “might,” “plan,” “potential,” “predict,” “project,” “should,” “target,” “would,” or the negative of these words or other similar expressions are intended to identify forward-looking statements, although not all forward-looking statements contain these identifying words. </w:t>
      </w:r>
    </w:p>
    <w:p>
      <w:pPr>
        <w:pStyle w:val="TextBody"/>
        <w:bidi w:val="0"/>
        <w:spacing w:before="240" w:after="0"/>
        <w:jc w:val="both"/>
        <w:rPr>
          <w:rFonts w:ascii="Times New Roman" w:hAnsi="Times New Roman"/>
          <w:sz w:val="20"/>
        </w:rPr>
      </w:pPr>
      <w:r>
        <w:rPr>
          <w:rFonts w:ascii="Times New Roman" w:hAnsi="Times New Roman"/>
          <w:sz w:val="20"/>
        </w:rPr>
        <w:t xml:space="preserve">The forward-looking statements in this prospectus supplement, the accompanying prospectus and the information incorporated by reference herein and therein include, among other things,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initiation, timing, design, progress and results of our research and development programs,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anticipated timing of the submission and clearance of investigational new drug applications and comparable foreign applications for any product candidates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of and our ability to submit applications for, obtain and maintain regulatory approvals for any product candidates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estimates regarding expenses, future revenue, capital requirements, need for additional financing and the period over which we believe our cash, cash equivalents and marketable securities will be sufficient to fund our operating expenses, debt service obligations and capital expenditure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comply with the restrictive covenants under our loan agreement, or the Loan Agreement, with Hercules Capital, Inc., or Hercules;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satisfy interest and principal payments under our Loan Agreement with Hercules;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plans to develop and, if approved, subsequently commercialize any product candidates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potential advantages of our FORCE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commercialization, marketing and manufacturing capabilities and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intellectual property position and our expectations regarding our ability to obtain and maintain intellectual property protection;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identify additional products, product candidates or technologies with significant commercial potential that are consistent with our commercial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impact of government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competitive position and expectations regarding developments and projections relating to our competitors and any competing therapies that are or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establish and maintain collaborations or obtain additional funding;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expectations relating to the use of proceeds from this offering.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may not actually achieve the plans, intentions or expectations disclosed in our forward-looking statements, and you should not place undue reliance on our forward-looking statements. Actual results or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could differ materially from the plans, intentions and expectations disclosed in the forward-looking statements we make. Factors that may cause actual results to differ materially from current expectations include, among other things, those listed in the “Risk Factors” section of this prospectus supplement and the “Risk Factors” sections contained in our most recent Annual Report on Form 10-K, Quarterly Report on Form 10-Q and other filings we make with the Securities and Exchange Commission, or the SEC, from time to time, which are incorporated by reference into this prospectus supplement. Moreover, we operate in a competitive and rapidly changing environment. New risk factors and uncertainties may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may make. Our forward-looking statements do not reflect the potential impact of any future acquisitions, mergers, dispositions, collaborations, joint ventures or investments that we may make or enter into. </w:t>
      </w:r>
    </w:p>
    <w:p>
      <w:pPr>
        <w:pStyle w:val="TextBody"/>
        <w:bidi w:val="0"/>
        <w:spacing w:before="240" w:after="0"/>
        <w:jc w:val="both"/>
        <w:rPr>
          <w:rFonts w:ascii="Times New Roman" w:hAnsi="Times New Roman"/>
          <w:sz w:val="20"/>
        </w:rPr>
      </w:pPr>
      <w:r>
        <w:rPr>
          <w:rFonts w:ascii="Times New Roman" w:hAnsi="Times New Roman"/>
          <w:sz w:val="20"/>
        </w:rPr>
        <w:t xml:space="preserve">You should read this prospectus supplement, the accompanying prospectus and the information incorporated by reference herein and therein completely and with the understanding that our actual future results may be materially different from what we expect. The forward-looking statements contained in this prospectus and incorporated by reference herein are made as of the date when made. We do not assume any obligation to update any forward-looking statements, whether as a result of new information, future events or otherwise, except as required by applicable law. </w:t>
      </w:r>
    </w:p>
    <w:p>
      <w:pPr>
        <w:pStyle w:val="TextBody"/>
        <w:bidi w:val="0"/>
        <w:spacing w:before="240" w:after="0"/>
        <w:jc w:val="both"/>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when made, and while we believe such information forms a reasonable basis for such statements, such information may be limited or incomplete.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supplement, the accompanying prospectus and the information incorporated by reference herein and therein include statistical and other industry and market data that we obtained from industry publications and research, surveys and studies conducted by third parties. All of the market data used in this prospectus supplement, the accompanying prospectus and the information incorporated by reference herein and therein involves a number of assumptions and limitations, and you are cautioned not to give undue weight to such data. We believe that the information from these industry publications, surveys and studies is reliable.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toc98164_3"/>
      <w:bookmarkEnd w:id="5"/>
      <w:r>
        <w:rPr>
          <w:rFonts w:ascii="Times New Roman" w:hAnsi="Times New Roman"/>
          <w:b/>
          <w:sz w:val="20"/>
          <w:bdr w:val="single" w:sz="8" w:space="1" w:color="000000"/>
        </w:rPr>
        <w:t xml:space="preserve">PROSPECTUS SUPPLEMENT SUMMARY </w:t>
      </w:r>
    </w:p>
    <w:p>
      <w:pPr>
        <w:pStyle w:val="TextBody"/>
        <w:bidi w:val="0"/>
        <w:spacing w:before="240" w:after="0"/>
        <w:jc w:val="both"/>
        <w:rPr>
          <w:rFonts w:ascii="Times New Roman" w:hAnsi="Times New Roman"/>
          <w:sz w:val="20"/>
          <w:bdr w:val="single" w:sz="8" w:space="1" w:color="000000"/>
        </w:rPr>
      </w:pPr>
      <w:r>
        <w:rPr>
          <w:rFonts w:ascii="Times New Roman" w:hAnsi="Times New Roman"/>
          <w:i/>
          <w:sz w:val="20"/>
          <w:bdr w:val="single" w:sz="8" w:space="1" w:color="000000"/>
        </w:rPr>
        <w:t>This summary highlights selected information contained elsewhere in this prospectus supplement and the accompanying prospectus and in the documents we incorporate by reference herein and therein. This summary does not contain all of the information you should consider before investing in our common stock. You should read this entire prospectus supplement and accompanying prospectus carefully, especially the risks of investing in our common stock discussed under “Risk Factors” beginning on page S-9</w:t>
      </w:r>
      <w:r>
        <w:rPr>
          <w:rFonts w:ascii="Times New Roman" w:hAnsi="Times New Roman"/>
          <w:sz w:val="20"/>
          <w:bdr w:val="single" w:sz="8" w:space="1" w:color="000000"/>
        </w:rPr>
        <w:t xml:space="preserve"> </w:t>
      </w:r>
      <w:r>
        <w:rPr>
          <w:rFonts w:ascii="Times New Roman" w:hAnsi="Times New Roman"/>
          <w:i/>
          <w:sz w:val="20"/>
          <w:bdr w:val="single" w:sz="8" w:space="1" w:color="000000"/>
        </w:rPr>
        <w:t xml:space="preserve">of this prospectus supplement, in the accompanying prospectus and in the documents incorporated by reference herein and therein, along with our consolidated financial statements and notes to those consolidated financial statements and the other information incorporated by reference in this prospectus supplement and the accompanying prospectus, before making an investment decision.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company focused on delivering functional improvement for people living with genetically driven neuromuscular diseases. Our proprietary FORCETM platform is designed to leverage the transferrin receptor 1, or TfR1, to deliver targeted therapeutics to muscle tissue and the central nervous system, or CNS. The FORCE platform utilizes an antigen-binding fragment antibody, or Fab, targeting TfR1 linked to a payload that we rationally design to target the genetic basis of the disease we are seeking to treat. With our FORCE platform, we have the flexibility to deploy different classes of payloads (such as oligonucleotides and enzymes) with specific mechanisms of action that modify target functions. We currently leverage this modularity to focus on neuromuscular diseases with high unmet need, with etiologic targets and with clear translational potential from preclinical disease models to well-defined clinical development and regulatory pathways.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Using our FORCE platform, we are assembling a broad portfolio of product candidates, including product candidates being developed for Duchenne muscular dystrophy, or DMD, myotonic dystrophy type 1, or DM1, facioscapulohumeral dystrophy, or FSHD, and Pompe disease. In addition, we plan to expand our portfolio through development efforts focused on diseases involving the CNS, rare skeletal muscle diseases, and cardiac and metabolic muscle diseases, including some with larger patient populations. We have identified product candidates for each of our DMD (amenable to skipping exons 51, 53, 45, 44, and 55), DM1, FSHD and Pompe programs that are in varying stages of preclinical and clinical development.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DMD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In May 2026, we initiated our Phase 3 FORZETTO clinical trial, a global, randomized, placebo-controlled, double-blind, confirmatory Phase 3 trial designed to assess the efficacy, safety, and tolerability of z-rostudirsen administered intravenously to ambulatory male participants with DMD amenable to exon 51 skipping. The trial will enroll approximately 90 participants 4 to 18 years of age who will be randomized 1:1 to receive 20 mg/kg of z-rostudirsen or placebo every four weeks (Q4W). The primary endpoint is the change from baseline in rise from floor (RFF) velocity at Week 73. Secondary endpoints include changes from baseline in stride velocity 95th centile (SV95C), North Star Ambulatory Assessment (NSAA) total score, 10-meter walk/run (10MWR) velocity, four-stair climb (4SC) velocity and forced vital capacity percent predicted (FVC%p), as well as additional functional and patient-reported outcome measures. Following the 72-week double-blind placebo-controlled treatment period, participants will be eligible to enroll in a 96-week open-label long-term extension. We have aligned with the FDA on the FORZETTO Phase 3 trial design and protocol. FORZETTO is intended to serve as a confirmatory trial to support the potential conversion of Accelerated Approval to traditional approval in the United States and to support ex-U.S. marketing applications. We continue to pursue approval pathways outside of the United States for z-rostudirsen.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In July 2026, we announced that the U.S. Food and Drug Administration, or FDA, accepted for review our biologics license application, or BLA, for zeleciment rostudirsen (z-rostudirsen, also known as DYNE-251) for the treatment of individuals with DMD amenable to exon 51 skipping. The FDA has granted the BLA Priority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Review and assigned a Prescription Drug User Fee Act (PDUFA) target action date of January 21, 2027. We continue to expect a potential launch of z-rostudirsen in the United States in the first quarter of 2027, assuming FDA approval is received on the anticipated timeline.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DM1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In March 2026, we initiated our Phase 3 HARMONIA clinical trial, a global, randomized, placebo-controlled, double-blind, confirmatory Phase 3 trial designed to assess the multi-system efficacy, safety, and tolerability of z-basivarsen administered intravenously to individuals with DM1. The trial will enroll approximately 150 participants age 16 and older who will be randomized 1:1 to receive 6.8 mg/kg of z-basivarsen or placebo every eight weeks (Q8W). The primary endpoint is the change from baseline in the five times sit to stand (5xSTS) test at week 49. Secondary endpoints include video hand opening time, quantitative muscle testing, the 10-Meter Walk/Run test, the Myotonic Dystrophy Health Index, and additional patient- and clinician-reported outcomes. The trial also includes a broad set of exploratory endpoints designed to assess multiple domains of DM1 CNS impact. Following the 48-week double-blind placebo-controlled treatment period, patients will be eligible to enroll in a 24-week long-term extension. We have aligned with the FDA on the HARMONIA Phase 3 trial design and protocol. HARMONIA is intended to serve as a confirmatory trial to support the potential conversion of Accelerated Approval to traditional approval in the United States and to support ex-U.S. marketing applications. We continue to pursue approval pathways outside of the United States for z-basivarsen.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of Risks Related to Our Business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business is subject to a number of risks of which you should be aware before making an investment decision. These risks are discussed more fully under the heading “Risk Factors” and elsewhere in this prospectus supplement, in the accompanying prospectus and in the documents incorporated by reference herein and therein, including our Annual Report on Form 10-K for the fiscal year ended December 31, 2025 and our subsequent Quarterly Report on Form 10-Q. These risks include, but are not limited to,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will need substantial additional funding. If we are unable to raise capital when needed, we could be forced to delay, reduce or eliminate our product development programs or commercialization efforts.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product candidates are in varying stages of preclinical and clinical development, and we have not completed clinical development of any product candidate. We do not expect to have a product candidate ready for commercialization at least until 2027, if ever. If we are unable to advance product candidates through preclinical studies and clinical trials, obtain marketing approval and ultimately commercialize them, or experience significant delays in doing so, our business will be materially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may encounter substantial delays in commencement, enrollment or completion of our clinical trials and the data from the clinical trials of our product candidates may fail to demonstrate sufficient safety and efficacy to warrant further development or satisfy the applicable regulatory authorities, which could prevent us from commercializing any product candidates we determine to develop on a timely basis, if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Fast Track, Breakthrough, Regenerative Medicine Advanced Therapy or Priority Review designations by the FDA may not actually lead to a faster development or regulatory review or approval process and does not assure FDA approval of any product candidates we may develop.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are currently pursuing accelerated development pathways for our product candidates for DM1 and DMD. However, there can be no assurance that the FDA will agree with the surrogate endpoints or intermediate clinical endpoints in any of our clinical trials or that future applications for marketing approval using the Accelerated Approval pathway will be accepted for filing or that review or approval will be granted on a timely basis, or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approach to the discovery and development of product candidates based on our FORCE platform is unproven, and we may not be successful in our efforts to develop our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outcome of preclinical studies and initial data from earlier-stage clinical trials may not be predictive of final results of clinical trials or future clinical trials and data from trials in one indication may not be predictive of results of clinical trials in other indications.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our product candidates cause undesirable side effects or have other unexpected adverse properties, such side effects or properties could delay or prevent us from conducting clinical trials or seeking or obtaining regulatory approval, limit the commercial potential of our product candidates or result in significant negative consequences to the extent such effects or adverse properties are observed following any marketing approval.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Loan Agreement with Hercules contains restrictive and financial covenants that may limit our operating flexibility and our failure to comply with the covenants or other terms of the Loan Agreement, including as a result of events beyond our control, could result in a default under the Loan Agreement that could materially and adversely affect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rely, and expect to continue to rely, on third parties to conduct some or all aspects of our product manufacturing, research, preclinical and clinical testing, and these third parties may not perform satisfactorily.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face substantial competition, which may result in others discovering, developing or commercializing products before us or more successfully than we do.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rights to develop and commercialize certain of our product candidates are subject or may in the future be subject, in part, to the terms and conditions of licenses granted to us by third parties. If we fail to comply with our obligations under current or future intellectual property license agreements or otherwise experience disruptions to our business relationships with our current or any future licensors, we could lose intellectual property rights that are important to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we or our licensors are unable to obtain, maintain and defend patent and other intellectual property protection for any product candidates or technology, or if the scope of the patent or other intellectual property protection obtained is not sufficiently broad, our competitors could develop and commercialize products and technology similar or identical to ours, and our ability to successfully develop and commercialize our product candidates or our technology may be adversely affected due to such competition.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Even if any product candidate that we may develop receives marketing approval, it may fail to achieve the degree of market acceptance by physicians, patients, third-party payers and others in the medical community necessary for commercial success.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Corporate Information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on December 1, 2017 under the name Dyne Therapeutics, Inc. Our principal executive offices are located at 1560 Trapelo Road, Waltham, Massachusetts 02451 and our telephone number is (781) 786-8230. Our website address is https://www.dyne-tx.com. The information contained on, or that can be accessed through, our website is not a part of this prospectus supplement. We have included our website address in this prospectus supplement solely as an inactive textual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Trademarks and Tradenames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own or have rights to trademarks, service marks and trade names that we use in connection with the operation of our business, including our corporate name, logos and website names. The service marks and trademarks that we own include the marks Dyne Therapeutics® and FORCE. Other trademarks, service marks and trade names appearing in this prospectus supplement are the property of their respective owners. Solely for convenience, some of the trademarks, service marks and trade names referred to in this prospectus supplement are listed without the ® and  symbols, but we will assert, to the fullest extent under applicable law, our rights to our trademarks, service marks and trade 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142"/>
        <w:gridCol w:w="120"/>
        <w:gridCol w:w="4943"/>
      </w:tblGrid>
      <w:tr>
        <w:trPr/>
        <w:tc>
          <w:tcPr>
            <w:tcW w:w="514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43" w:type="dxa"/>
            <w:tcBorders/>
            <w:vAlign w:val="center"/>
          </w:tcPr>
          <w:p>
            <w:pPr>
              <w:pStyle w:val="TableContents"/>
              <w:bidi w:val="0"/>
              <w:spacing w:before="0" w:after="283"/>
              <w:jc w:val="left"/>
              <w:rPr>
                <w:sz w:val="4"/>
                <w:szCs w:val="4"/>
              </w:rPr>
            </w:pPr>
            <w:r>
              <w:rPr>
                <w:sz w:val="4"/>
                <w:szCs w:val="4"/>
              </w:rPr>
            </w:r>
          </w:p>
        </w:tc>
      </w:tr>
      <w:tr>
        <w:trPr>
          <w:trHeight w:val="75" w:hRule="atLeast"/>
        </w:trPr>
        <w:tc>
          <w:tcPr>
            <w:tcW w:w="5142" w:type="dxa"/>
            <w:tcBorders/>
            <w:vAlign w:val="center"/>
          </w:tcPr>
          <w:p>
            <w:pPr>
              <w:pStyle w:val="TableContents"/>
              <w:bidi w:val="0"/>
              <w:spacing w:before="0" w:after="283"/>
              <w:jc w:val="left"/>
              <w:rPr>
                <w:sz w:val="4"/>
                <w:szCs w:val="4"/>
              </w:rPr>
            </w:pPr>
            <w:r>
              <w:rPr>
                <w:sz w:val="4"/>
                <w:szCs w:val="4"/>
              </w:rPr>
            </w:r>
          </w:p>
        </w:tc>
        <w:tc>
          <w:tcPr>
            <w:tcW w:w="5063" w:type="dxa"/>
            <w:gridSpan w:val="2"/>
            <w:tcBorders/>
            <w:vAlign w:val="center"/>
          </w:tcPr>
          <w:p>
            <w:pPr>
              <w:pStyle w:val="TableContents"/>
              <w:bidi w:val="0"/>
              <w:spacing w:before="0" w:after="283"/>
              <w:jc w:val="left"/>
              <w:rPr>
                <w:sz w:val="4"/>
                <w:szCs w:val="4"/>
              </w:rPr>
            </w:pPr>
            <w:r>
              <w:rPr>
                <w:sz w:val="4"/>
                <w:szCs w:val="4"/>
              </w:rPr>
            </w:r>
          </w:p>
        </w:tc>
      </w:tr>
      <w:tr>
        <w:trPr/>
        <w:tc>
          <w:tcPr>
            <w:tcW w:w="5142" w:type="dxa"/>
            <w:tcBorders/>
          </w:tcPr>
          <w:p>
            <w:pPr>
              <w:pStyle w:val="TableContents"/>
              <w:bidi w:val="0"/>
              <w:spacing w:before="0" w:after="0"/>
              <w:jc w:val="left"/>
              <w:rPr>
                <w:rFonts w:ascii="Times New Roman" w:hAnsi="Times New Roman"/>
                <w:b/>
                <w:sz w:val="20"/>
              </w:rPr>
            </w:pPr>
            <w:r>
              <w:rPr>
                <w:rFonts w:ascii="Times New Roman" w:hAnsi="Times New Roman"/>
                <w:b/>
                <w:sz w:val="20"/>
              </w:rPr>
              <w:t>Common Stock Offered by Us</w:t>
            </w:r>
          </w:p>
        </w:tc>
        <w:tc>
          <w:tcPr>
            <w:tcW w:w="120" w:type="dxa"/>
            <w:tcBorders/>
            <w:vAlign w:val="bottom"/>
          </w:tcPr>
          <w:p>
            <w:pPr>
              <w:pStyle w:val="TableContents"/>
              <w:bidi w:val="0"/>
              <w:spacing w:before="0" w:after="283"/>
              <w:jc w:val="left"/>
              <w:rPr/>
            </w:pPr>
            <w:r>
              <w:rPr/>
              <w:t>  </w:t>
            </w:r>
          </w:p>
        </w:tc>
        <w:tc>
          <w:tcPr>
            <w:tcW w:w="4943"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$300,000,000 of shares.</w:t>
            </w:r>
          </w:p>
        </w:tc>
      </w:tr>
      <w:tr>
        <w:trPr>
          <w:trHeight w:val="75" w:hRule="atLeast"/>
        </w:trPr>
        <w:tc>
          <w:tcPr>
            <w:tcW w:w="5142" w:type="dxa"/>
            <w:tcBorders/>
            <w:vAlign w:val="center"/>
          </w:tcPr>
          <w:p>
            <w:pPr>
              <w:pStyle w:val="TableContents"/>
              <w:bidi w:val="0"/>
              <w:spacing w:before="0" w:after="283"/>
              <w:jc w:val="left"/>
              <w:rPr>
                <w:sz w:val="4"/>
                <w:szCs w:val="4"/>
              </w:rPr>
            </w:pPr>
            <w:r>
              <w:rPr>
                <w:sz w:val="4"/>
                <w:szCs w:val="4"/>
              </w:rPr>
            </w:r>
          </w:p>
        </w:tc>
        <w:tc>
          <w:tcPr>
            <w:tcW w:w="5063" w:type="dxa"/>
            <w:gridSpan w:val="2"/>
            <w:tcBorders/>
            <w:vAlign w:val="center"/>
          </w:tcPr>
          <w:p>
            <w:pPr>
              <w:pStyle w:val="TableContents"/>
              <w:bidi w:val="0"/>
              <w:spacing w:before="0" w:after="283"/>
              <w:jc w:val="left"/>
              <w:rPr>
                <w:sz w:val="4"/>
                <w:szCs w:val="4"/>
              </w:rPr>
            </w:pPr>
            <w:r>
              <w:rPr>
                <w:sz w:val="4"/>
                <w:szCs w:val="4"/>
              </w:rPr>
            </w:r>
          </w:p>
        </w:tc>
      </w:tr>
      <w:tr>
        <w:trPr/>
        <w:tc>
          <w:tcPr>
            <w:tcW w:w="5142" w:type="dxa"/>
            <w:tcBorders/>
          </w:tcPr>
          <w:p>
            <w:pPr>
              <w:pStyle w:val="TableContents"/>
              <w:bidi w:val="0"/>
              <w:spacing w:before="0" w:after="0"/>
              <w:jc w:val="left"/>
              <w:rPr>
                <w:rFonts w:ascii="Times New Roman" w:hAnsi="Times New Roman"/>
                <w:b/>
                <w:sz w:val="20"/>
              </w:rPr>
            </w:pPr>
            <w:r>
              <w:rPr>
                <w:rFonts w:ascii="Times New Roman" w:hAnsi="Times New Roman"/>
                <w:b/>
                <w:sz w:val="20"/>
              </w:rPr>
              <w:t>Option to Purchase Additional Shares</w:t>
            </w:r>
          </w:p>
        </w:tc>
        <w:tc>
          <w:tcPr>
            <w:tcW w:w="120" w:type="dxa"/>
            <w:tcBorders/>
            <w:vAlign w:val="bottom"/>
          </w:tcPr>
          <w:p>
            <w:pPr>
              <w:pStyle w:val="TableContents"/>
              <w:bidi w:val="0"/>
              <w:spacing w:before="0" w:after="283"/>
              <w:jc w:val="left"/>
              <w:rPr/>
            </w:pPr>
            <w:r>
              <w:rPr/>
              <w:t>  </w:t>
            </w:r>
          </w:p>
        </w:tc>
        <w:tc>
          <w:tcPr>
            <w:tcW w:w="4943"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We have granted the underwriters an option for a period of 30 days from the date of this prospectus supplement to purchase up to an additional $45,000,000 of shares of our common stock.</w:t>
            </w:r>
          </w:p>
        </w:tc>
      </w:tr>
      <w:tr>
        <w:trPr>
          <w:trHeight w:val="75" w:hRule="atLeast"/>
        </w:trPr>
        <w:tc>
          <w:tcPr>
            <w:tcW w:w="5142" w:type="dxa"/>
            <w:tcBorders/>
            <w:vAlign w:val="center"/>
          </w:tcPr>
          <w:p>
            <w:pPr>
              <w:pStyle w:val="TableContents"/>
              <w:bidi w:val="0"/>
              <w:spacing w:before="0" w:after="283"/>
              <w:jc w:val="left"/>
              <w:rPr>
                <w:sz w:val="4"/>
                <w:szCs w:val="4"/>
              </w:rPr>
            </w:pPr>
            <w:r>
              <w:rPr>
                <w:sz w:val="4"/>
                <w:szCs w:val="4"/>
              </w:rPr>
            </w:r>
          </w:p>
        </w:tc>
        <w:tc>
          <w:tcPr>
            <w:tcW w:w="5063" w:type="dxa"/>
            <w:gridSpan w:val="2"/>
            <w:tcBorders/>
            <w:vAlign w:val="center"/>
          </w:tcPr>
          <w:p>
            <w:pPr>
              <w:pStyle w:val="TableContents"/>
              <w:bidi w:val="0"/>
              <w:spacing w:before="0" w:after="283"/>
              <w:jc w:val="left"/>
              <w:rPr>
                <w:sz w:val="4"/>
                <w:szCs w:val="4"/>
              </w:rPr>
            </w:pPr>
            <w:r>
              <w:rPr>
                <w:sz w:val="4"/>
                <w:szCs w:val="4"/>
              </w:rPr>
            </w:r>
          </w:p>
        </w:tc>
      </w:tr>
      <w:tr>
        <w:trPr/>
        <w:tc>
          <w:tcPr>
            <w:tcW w:w="5142" w:type="dxa"/>
            <w:tcBorders/>
          </w:tcPr>
          <w:p>
            <w:pPr>
              <w:pStyle w:val="TableContents"/>
              <w:bidi w:val="0"/>
              <w:spacing w:before="0" w:after="0"/>
              <w:jc w:val="left"/>
              <w:rPr>
                <w:rFonts w:ascii="Times New Roman" w:hAnsi="Times New Roman"/>
                <w:b/>
                <w:sz w:val="20"/>
              </w:rPr>
            </w:pPr>
            <w:r>
              <w:rPr>
                <w:rFonts w:ascii="Times New Roman" w:hAnsi="Times New Roman"/>
                <w:b/>
                <w:sz w:val="20"/>
              </w:rPr>
              <w:t>Common Stock to be Outstanding Immediately Following this Offering</w:t>
            </w:r>
          </w:p>
        </w:tc>
        <w:tc>
          <w:tcPr>
            <w:tcW w:w="120" w:type="dxa"/>
            <w:tcBorders/>
            <w:vAlign w:val="bottom"/>
          </w:tcPr>
          <w:p>
            <w:pPr>
              <w:pStyle w:val="TableContents"/>
              <w:bidi w:val="0"/>
              <w:spacing w:before="0" w:after="283"/>
              <w:jc w:val="left"/>
              <w:rPr/>
            </w:pPr>
            <w:r>
              <w:rPr/>
              <w:t>  </w:t>
            </w:r>
          </w:p>
        </w:tc>
        <w:tc>
          <w:tcPr>
            <w:tcW w:w="4943" w:type="dxa"/>
            <w:tcBorders/>
            <w:vAlign w:val="bottom"/>
          </w:tcPr>
          <w:p>
            <w:pPr>
              <w:pStyle w:val="TableContents"/>
              <w:bidi w:val="0"/>
              <w:spacing w:before="0" w:after="0"/>
              <w:jc w:val="both"/>
              <w:rPr/>
            </w:pPr>
            <w:r>
              <w:rPr/>
              <w:t xml:space="preserve">     </w:t>
            </w:r>
            <w:r>
              <w:rPr>
                <w:rFonts w:ascii="Times New Roman" w:hAnsi="Times New Roman"/>
                <w:sz w:val="20"/>
              </w:rPr>
              <w:t>shares, or    shares if the underwriters exercise in full their option to purchase additional shares.</w:t>
            </w:r>
          </w:p>
        </w:tc>
      </w:tr>
      <w:tr>
        <w:trPr>
          <w:trHeight w:val="75" w:hRule="atLeast"/>
        </w:trPr>
        <w:tc>
          <w:tcPr>
            <w:tcW w:w="5142" w:type="dxa"/>
            <w:tcBorders/>
            <w:vAlign w:val="center"/>
          </w:tcPr>
          <w:p>
            <w:pPr>
              <w:pStyle w:val="TableContents"/>
              <w:bidi w:val="0"/>
              <w:spacing w:before="0" w:after="283"/>
              <w:jc w:val="left"/>
              <w:rPr>
                <w:sz w:val="4"/>
                <w:szCs w:val="4"/>
              </w:rPr>
            </w:pPr>
            <w:r>
              <w:rPr>
                <w:sz w:val="4"/>
                <w:szCs w:val="4"/>
              </w:rPr>
            </w:r>
          </w:p>
        </w:tc>
        <w:tc>
          <w:tcPr>
            <w:tcW w:w="5063" w:type="dxa"/>
            <w:gridSpan w:val="2"/>
            <w:tcBorders/>
            <w:vAlign w:val="center"/>
          </w:tcPr>
          <w:p>
            <w:pPr>
              <w:pStyle w:val="TableContents"/>
              <w:bidi w:val="0"/>
              <w:spacing w:before="0" w:after="283"/>
              <w:jc w:val="left"/>
              <w:rPr>
                <w:sz w:val="4"/>
                <w:szCs w:val="4"/>
              </w:rPr>
            </w:pPr>
            <w:r>
              <w:rPr>
                <w:sz w:val="4"/>
                <w:szCs w:val="4"/>
              </w:rPr>
            </w:r>
          </w:p>
        </w:tc>
      </w:tr>
      <w:tr>
        <w:trPr/>
        <w:tc>
          <w:tcPr>
            <w:tcW w:w="5142" w:type="dxa"/>
            <w:tcBorders/>
          </w:tcPr>
          <w:p>
            <w:pPr>
              <w:pStyle w:val="TableContents"/>
              <w:bidi w:val="0"/>
              <w:spacing w:before="0" w:after="0"/>
              <w:jc w:val="left"/>
              <w:rPr>
                <w:rFonts w:ascii="Times New Roman" w:hAnsi="Times New Roman"/>
                <w:b/>
                <w:sz w:val="20"/>
              </w:rPr>
            </w:pPr>
            <w:r>
              <w:rPr>
                <w:rFonts w:ascii="Times New Roman" w:hAnsi="Times New Roman"/>
                <w:b/>
                <w:sz w:val="20"/>
              </w:rPr>
              <w:t>Use of Proceeds</w:t>
            </w:r>
          </w:p>
        </w:tc>
        <w:tc>
          <w:tcPr>
            <w:tcW w:w="120" w:type="dxa"/>
            <w:tcBorders/>
            <w:vAlign w:val="bottom"/>
          </w:tcPr>
          <w:p>
            <w:pPr>
              <w:pStyle w:val="TableContents"/>
              <w:bidi w:val="0"/>
              <w:spacing w:before="0" w:after="283"/>
              <w:jc w:val="left"/>
              <w:rPr/>
            </w:pPr>
            <w:r>
              <w:rPr/>
              <w:t>  </w:t>
            </w:r>
          </w:p>
        </w:tc>
        <w:tc>
          <w:tcPr>
            <w:tcW w:w="4943"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We estimate that the net proceeds to us from this offering will be approximately $    million, or approximately $    million if the underwriters exercise their option to purchase additional shares in full, in each case after deducting underwriting discounts and commissions and estimated offering expenses payable by us.</w:t>
            </w:r>
          </w:p>
        </w:tc>
      </w:tr>
      <w:tr>
        <w:trPr>
          <w:trHeight w:val="75" w:hRule="atLeast"/>
        </w:trPr>
        <w:tc>
          <w:tcPr>
            <w:tcW w:w="5142" w:type="dxa"/>
            <w:tcBorders/>
            <w:vAlign w:val="center"/>
          </w:tcPr>
          <w:p>
            <w:pPr>
              <w:pStyle w:val="TableContents"/>
              <w:bidi w:val="0"/>
              <w:spacing w:before="0" w:after="283"/>
              <w:jc w:val="left"/>
              <w:rPr>
                <w:sz w:val="4"/>
                <w:szCs w:val="4"/>
              </w:rPr>
            </w:pPr>
            <w:r>
              <w:rPr>
                <w:sz w:val="4"/>
                <w:szCs w:val="4"/>
              </w:rPr>
            </w:r>
          </w:p>
        </w:tc>
        <w:tc>
          <w:tcPr>
            <w:tcW w:w="5063" w:type="dxa"/>
            <w:gridSpan w:val="2"/>
            <w:tcBorders/>
            <w:vAlign w:val="center"/>
          </w:tcPr>
          <w:p>
            <w:pPr>
              <w:pStyle w:val="TableContents"/>
              <w:bidi w:val="0"/>
              <w:spacing w:before="0" w:after="283"/>
              <w:jc w:val="left"/>
              <w:rPr>
                <w:sz w:val="4"/>
                <w:szCs w:val="4"/>
              </w:rPr>
            </w:pPr>
            <w:r>
              <w:rPr>
                <w:sz w:val="4"/>
                <w:szCs w:val="4"/>
              </w:rPr>
            </w:r>
          </w:p>
        </w:tc>
      </w:tr>
      <w:tr>
        <w:trPr/>
        <w:tc>
          <w:tcPr>
            <w:tcW w:w="5142"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943"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We intend to use the net proceeds from this offering, together with our existing cash, cash equivalents and marketable securities, and the third term loan tranche of $50.0 million that we borrowed under our Loan Agreement with Hercules in June 2026, to advance the development of z-rostudirsen and z-basivarsen, including ongoing and planned clinical trials and the pursuit of regulatory approvals for z-rostudirsen and z-basivarsen, to build appropriate manufacturing capabilities to support potential commercial launches of z-rostudirsen and z-basivarsen, continued expansion of commercial infrastructure and capabilities, continued research and development for our other clinical and preclinical programs, including for DMD (four additional exons), FSHD and Pompe disease, continued development and enhancement of our proprietary FORCE platform and for working capital and other general corporate purposes. See “Use of Proceeds” for more information.</w:t>
            </w:r>
          </w:p>
        </w:tc>
      </w:tr>
      <w:tr>
        <w:trPr>
          <w:trHeight w:val="75" w:hRule="atLeast"/>
        </w:trPr>
        <w:tc>
          <w:tcPr>
            <w:tcW w:w="5142" w:type="dxa"/>
            <w:tcBorders/>
            <w:vAlign w:val="center"/>
          </w:tcPr>
          <w:p>
            <w:pPr>
              <w:pStyle w:val="TableContents"/>
              <w:bidi w:val="0"/>
              <w:spacing w:before="0" w:after="283"/>
              <w:jc w:val="left"/>
              <w:rPr>
                <w:sz w:val="4"/>
                <w:szCs w:val="4"/>
              </w:rPr>
            </w:pPr>
            <w:r>
              <w:rPr>
                <w:sz w:val="4"/>
                <w:szCs w:val="4"/>
              </w:rPr>
            </w:r>
          </w:p>
        </w:tc>
        <w:tc>
          <w:tcPr>
            <w:tcW w:w="5063" w:type="dxa"/>
            <w:gridSpan w:val="2"/>
            <w:tcBorders/>
            <w:vAlign w:val="center"/>
          </w:tcPr>
          <w:p>
            <w:pPr>
              <w:pStyle w:val="TableContents"/>
              <w:bidi w:val="0"/>
              <w:spacing w:before="0" w:after="283"/>
              <w:jc w:val="left"/>
              <w:rPr>
                <w:sz w:val="4"/>
                <w:szCs w:val="4"/>
              </w:rPr>
            </w:pPr>
            <w:r>
              <w:rPr>
                <w:sz w:val="4"/>
                <w:szCs w:val="4"/>
              </w:rPr>
            </w:r>
          </w:p>
        </w:tc>
      </w:tr>
      <w:tr>
        <w:trPr/>
        <w:tc>
          <w:tcPr>
            <w:tcW w:w="5142" w:type="dxa"/>
            <w:tcBorders/>
          </w:tcPr>
          <w:p>
            <w:pPr>
              <w:pStyle w:val="TableContents"/>
              <w:bidi w:val="0"/>
              <w:spacing w:before="0" w:after="0"/>
              <w:jc w:val="left"/>
              <w:rPr>
                <w:rFonts w:ascii="Times New Roman" w:hAnsi="Times New Roman"/>
                <w:b/>
                <w:sz w:val="20"/>
              </w:rPr>
            </w:pPr>
            <w:r>
              <w:rPr>
                <w:rFonts w:ascii="Times New Roman" w:hAnsi="Times New Roman"/>
                <w:b/>
                <w:sz w:val="20"/>
              </w:rPr>
              <w:t>Risk Factors</w:t>
            </w:r>
          </w:p>
        </w:tc>
        <w:tc>
          <w:tcPr>
            <w:tcW w:w="120" w:type="dxa"/>
            <w:tcBorders/>
            <w:vAlign w:val="bottom"/>
          </w:tcPr>
          <w:p>
            <w:pPr>
              <w:pStyle w:val="TableContents"/>
              <w:bidi w:val="0"/>
              <w:spacing w:before="0" w:after="283"/>
              <w:jc w:val="left"/>
              <w:rPr/>
            </w:pPr>
            <w:r>
              <w:rPr/>
              <w:t>  </w:t>
            </w:r>
          </w:p>
        </w:tc>
        <w:tc>
          <w:tcPr>
            <w:tcW w:w="4943"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You should read the “Risk Factors” section of this prospectus supplement beginning on page S-9 and the “Risk Factors” sections contained in the accompanying prospectus and in the documents incorporated by reference herein and therein, including our Annual Report on Form 10-K for the fiscal year ended December 31, 2025 and our subsequent Quarterly Report on Form 10-Q, for a discussion of factors to consider carefully before deciding to invest in shares of our common stock.</w:t>
            </w:r>
          </w:p>
        </w:tc>
      </w:tr>
      <w:tr>
        <w:trPr>
          <w:trHeight w:val="75" w:hRule="atLeast"/>
        </w:trPr>
        <w:tc>
          <w:tcPr>
            <w:tcW w:w="5142" w:type="dxa"/>
            <w:tcBorders/>
            <w:vAlign w:val="center"/>
          </w:tcPr>
          <w:p>
            <w:pPr>
              <w:pStyle w:val="TableContents"/>
              <w:bidi w:val="0"/>
              <w:spacing w:before="0" w:after="283"/>
              <w:jc w:val="left"/>
              <w:rPr>
                <w:sz w:val="4"/>
                <w:szCs w:val="4"/>
              </w:rPr>
            </w:pPr>
            <w:r>
              <w:rPr>
                <w:sz w:val="4"/>
                <w:szCs w:val="4"/>
              </w:rPr>
            </w:r>
          </w:p>
        </w:tc>
        <w:tc>
          <w:tcPr>
            <w:tcW w:w="5063" w:type="dxa"/>
            <w:gridSpan w:val="2"/>
            <w:tcBorders/>
            <w:vAlign w:val="center"/>
          </w:tcPr>
          <w:p>
            <w:pPr>
              <w:pStyle w:val="TableContents"/>
              <w:bidi w:val="0"/>
              <w:spacing w:before="0" w:after="283"/>
              <w:jc w:val="left"/>
              <w:rPr>
                <w:sz w:val="4"/>
                <w:szCs w:val="4"/>
              </w:rPr>
            </w:pPr>
            <w:r>
              <w:rPr>
                <w:sz w:val="4"/>
                <w:szCs w:val="4"/>
              </w:rPr>
            </w:r>
          </w:p>
        </w:tc>
      </w:tr>
      <w:tr>
        <w:trPr/>
        <w:tc>
          <w:tcPr>
            <w:tcW w:w="5142" w:type="dxa"/>
            <w:tcBorders/>
          </w:tcPr>
          <w:p>
            <w:pPr>
              <w:pStyle w:val="TableContents"/>
              <w:bidi w:val="0"/>
              <w:spacing w:before="0" w:after="0"/>
              <w:jc w:val="left"/>
              <w:rPr>
                <w:rFonts w:ascii="Times New Roman" w:hAnsi="Times New Roman"/>
                <w:b/>
                <w:sz w:val="20"/>
              </w:rPr>
            </w:pPr>
            <w:r>
              <w:rPr>
                <w:rFonts w:ascii="Times New Roman" w:hAnsi="Times New Roman"/>
                <w:b/>
                <w:sz w:val="20"/>
              </w:rPr>
              <w:t>Nasdaq Global Select Market Symbol</w:t>
            </w:r>
          </w:p>
        </w:tc>
        <w:tc>
          <w:tcPr>
            <w:tcW w:w="120" w:type="dxa"/>
            <w:tcBorders/>
            <w:vAlign w:val="bottom"/>
          </w:tcPr>
          <w:p>
            <w:pPr>
              <w:pStyle w:val="TableContents"/>
              <w:bidi w:val="0"/>
              <w:spacing w:before="0" w:after="283"/>
              <w:jc w:val="left"/>
              <w:rPr/>
            </w:pPr>
            <w:r>
              <w:rPr/>
              <w:t>  </w:t>
            </w:r>
          </w:p>
        </w:tc>
        <w:tc>
          <w:tcPr>
            <w:tcW w:w="4943" w:type="dxa"/>
            <w:tcBorders/>
            <w:vAlign w:val="bottom"/>
          </w:tcPr>
          <w:p>
            <w:pPr>
              <w:pStyle w:val="TableContents"/>
              <w:bidi w:val="0"/>
              <w:spacing w:before="0" w:after="0"/>
              <w:jc w:val="both"/>
              <w:rPr/>
            </w:pPr>
            <w:r>
              <w:rPr/>
              <w:t>“</w:t>
            </w:r>
            <w:r>
              <w:rPr>
                <w:rFonts w:ascii="Times New Roman" w:hAnsi="Times New Roman"/>
                <w:sz w:val="20"/>
              </w:rPr>
              <w:t>DYN”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to be outstanding after this offering, unless otherwise indicated, is based on 165,531,839 shares of our common stock outstanding as of May 31, 2026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13,137,729 shares of our common stock issuable upon exercise of stock options outstanding as of May 31, 2026, at a weighted-average exercise price of $17.55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4,490,535 shares of common stock issuable upon vesting and settlement of outstanding restricted stock units as of May 31,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8,524,414 shares of common stock reserved for future issuance under our 2020 Stock Incentive Plan, or the 2020 Plan, as of May 31, 2026, and any additional automatic increases in the number of shares of common stock reserved for issuance under the 2020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488,414 shares of common stock reserved for future issuance under the 2020 Employee Stock Purchase Plan, or the 2020 ESPP, as of May 31, 2026, and any additional automatic increases in the number of shares of common stock reserved for issuance under the 2020 ESPP;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1,893,847 shares of common stock reserved for future issuance under our 2024 Inducement Stock Incentive Plan, as amended, or the 2024 Inducement Plan, as of May 31, 2026.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in this prospectus supplement assumes: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 exercise of the outstanding options or vesting and settlement of the restricted stock units described above;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 exercise by the underwriters of their option to purchase additional shares of our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oc98164_4"/>
      <w:bookmarkEnd w:id="6"/>
      <w:r>
        <w:rPr>
          <w:rFonts w:ascii="Times New Roman" w:hAnsi="Times New Roman"/>
          <w:b/>
          <w:sz w:val="20"/>
        </w:rPr>
        <w:t xml:space="preserve">RISK FACTORS </w:t>
      </w:r>
    </w:p>
    <w:p>
      <w:pPr>
        <w:pStyle w:val="TextBody"/>
        <w:bidi w:val="0"/>
        <w:spacing w:before="240" w:after="0"/>
        <w:jc w:val="both"/>
        <w:rPr>
          <w:rFonts w:ascii="Times New Roman" w:hAnsi="Times New Roman"/>
          <w:i/>
          <w:sz w:val="20"/>
        </w:rPr>
      </w:pPr>
      <w:r>
        <w:rPr>
          <w:rFonts w:ascii="Times New Roman" w:hAnsi="Times New Roman"/>
          <w:i/>
          <w:sz w:val="20"/>
        </w:rPr>
        <w:t xml:space="preserve">An investment in our common stock involves a high degree of risk. Before deciding whether to invest in our common stock, you should consider carefully the risks and uncertainties described below and under the section captioned “Risk Factors” contained in our most recent Annual Report on Form 10-K, Quarterly Report on Form 10-Q and other filings we make with the SEC from time to time, which are incorporated by reference herein in their entirety, together with other information in this prospectus supplement and the accompanying prospectus. If any of these risks actually occurs, our business, financial condition, results of operations or cash flow could suffer materially. In such event, the trading price of our common stock could decline and you might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Common Stock and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you purchase shares of common stock in this offering, you will suffer immediate dilution of your investment. </w:t>
      </w:r>
    </w:p>
    <w:p>
      <w:pPr>
        <w:pStyle w:val="TextBody"/>
        <w:bidi w:val="0"/>
        <w:spacing w:before="120" w:after="0"/>
        <w:jc w:val="both"/>
        <w:rPr>
          <w:rFonts w:ascii="Times New Roman" w:hAnsi="Times New Roman"/>
          <w:sz w:val="20"/>
        </w:rPr>
      </w:pPr>
      <w:r>
        <w:rPr>
          <w:rFonts w:ascii="Times New Roman" w:hAnsi="Times New Roman"/>
          <w:sz w:val="20"/>
        </w:rPr>
        <w:t xml:space="preserve">The public offering price of our common stock in this offering is substantially higher than the net tangible book value per share of our common stock. Therefore, if you purchase shares of our common stock in this offering, you will pay a price per share that substantially exceeds our net tangible book value per share after this offering. Based on the public offering price of $    per share, you will experience immediate dilution of $    per share, representing the difference between our pro forma as adjusted net tangible book value per share after giving effect to this offering and the public offering price. To the extent outstanding options are exercised, restricted stock units vest and settle or we raise additional capital, you will incur further dilution. For additional information on the dilution that you will experience immediately after this offering, see the section titled “Dilution” in this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future dilution as a result of future equity offerings. </w:t>
      </w:r>
    </w:p>
    <w:p>
      <w:pPr>
        <w:pStyle w:val="TextBody"/>
        <w:bidi w:val="0"/>
        <w:spacing w:before="120" w:after="0"/>
        <w:jc w:val="both"/>
        <w:rPr>
          <w:rFonts w:ascii="Times New Roman" w:hAnsi="Times New Roman"/>
          <w:sz w:val="20"/>
        </w:rPr>
      </w:pPr>
      <w:r>
        <w:rPr>
          <w:rFonts w:ascii="Times New Roman" w:hAnsi="Times New Roman"/>
          <w:sz w:val="20"/>
        </w:rPr>
        <w:t xml:space="preserve">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broad discretion in the use of the net proceeds from this offering and may not use them effectively. </w:t>
      </w:r>
    </w:p>
    <w:p>
      <w:pPr>
        <w:pStyle w:val="TextBody"/>
        <w:bidi w:val="0"/>
        <w:spacing w:before="120" w:after="0"/>
        <w:jc w:val="both"/>
        <w:rPr>
          <w:rFonts w:ascii="Times New Roman" w:hAnsi="Times New Roman"/>
          <w:sz w:val="20"/>
        </w:rPr>
      </w:pPr>
      <w:r>
        <w:rPr>
          <w:rFonts w:ascii="Times New Roman" w:hAnsi="Times New Roman"/>
          <w:sz w:val="20"/>
        </w:rPr>
        <w:t xml:space="preserve">Our management will have broad discretion in the application of the net proceeds from this offering and could spend the proceeds in ways that do not improve our results of operations or enhance the value of our common stock. You will not have the opportunity to influence our decisions on how to use our net proceeds from this offering. The failure by our management to apply these funds effectively could result in financial losses that could cause the price of our common stock to decline and delay the development of our product candidates. Pending their use, we may invest the net proceeds from this offering in a manner that does not produce income or that loses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we do not anticipate paying any cash dividends on our capital stock in the foreseeable future, capital appreciation, if any, will be the sole source of gain for our stockholders. </w:t>
      </w:r>
    </w:p>
    <w:p>
      <w:pPr>
        <w:pStyle w:val="TextBody"/>
        <w:bidi w:val="0"/>
        <w:spacing w:before="120" w:after="0"/>
        <w:jc w:val="both"/>
        <w:rPr>
          <w:rFonts w:ascii="Times New Roman" w:hAnsi="Times New Roman"/>
          <w:sz w:val="20"/>
        </w:rPr>
      </w:pPr>
      <w:r>
        <w:rPr>
          <w:rFonts w:ascii="Times New Roman" w:hAnsi="Times New Roman"/>
          <w:sz w:val="20"/>
        </w:rPr>
        <w:t xml:space="preserve">We have never declared or paid cash dividends on our capital stock. We currently intend to retain all of our future earnings, if any, to finance the growth and development of our business. As a result, capital appreciation, if any, of our common stock will be the sole source of gain for our stockholders for the foreseeable future. In addition, our Loan Agreement with Hercules limits our ability to pay dividends, as discussed further in the risk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factor in the Quarterly Report on Form 10-Q for the quarterly period ended March 31, 2026 entitled “</w:t>
      </w:r>
      <w:r>
        <w:rPr>
          <w:rFonts w:ascii="Times New Roman" w:hAnsi="Times New Roman"/>
          <w:i/>
          <w:sz w:val="20"/>
        </w:rPr>
        <w:t>Our Loan Agreement contains restrictive and financial covenants that may limit our operating flexibility</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Indebtedness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Loan Agreement contains restrictive and financial covenants that may limit our operating flexibility. </w:t>
      </w:r>
    </w:p>
    <w:p>
      <w:pPr>
        <w:pStyle w:val="TextBody"/>
        <w:bidi w:val="0"/>
        <w:spacing w:before="120" w:after="0"/>
        <w:jc w:val="both"/>
        <w:rPr>
          <w:rFonts w:ascii="Times New Roman" w:hAnsi="Times New Roman"/>
          <w:sz w:val="20"/>
        </w:rPr>
      </w:pPr>
      <w:r>
        <w:rPr>
          <w:rFonts w:ascii="Times New Roman" w:hAnsi="Times New Roman"/>
          <w:sz w:val="20"/>
        </w:rPr>
        <w:t xml:space="preserve">On June 27, 2025, we entered into the Loan Agreement with Hercules, in its capacity as administrative agent and collateral agent, and certain other financial institutions party thereto as lenders, or the Lenders. We entered into a First Amendment to the Loan Agreement in December 2025 and a Second Amendment to the Loan Agreement in June 2026. Following entry into the Second Amendment and the borrowing of the third term loan tranche, we have $200.0 million in outstanding term loans under the Loan Agreement and three additional term loan tranches we may borrow pursuant to the Loan Agreement, totaling up to $125.0 million, which are available subject to the achievement of specified clinical, regulatory and commercial milestones, and a final term loan tranche of up to $75.0 million, which is available subject to approval by the Lenders’ investment committee in their discretion. Our obligations under the Loan Agreement are secured by a first-priority security interest in substantially all of our property, inclusive of intellectual property, subject to customary permitted liens and other exceptions set forth in the Loan Agreement. </w:t>
      </w:r>
    </w:p>
    <w:p>
      <w:pPr>
        <w:pStyle w:val="TextBody"/>
        <w:bidi w:val="0"/>
        <w:spacing w:before="240" w:after="0"/>
        <w:jc w:val="both"/>
        <w:rPr>
          <w:rFonts w:ascii="Times New Roman" w:hAnsi="Times New Roman"/>
          <w:sz w:val="20"/>
        </w:rPr>
      </w:pPr>
      <w:r>
        <w:rPr>
          <w:rFonts w:ascii="Times New Roman" w:hAnsi="Times New Roman"/>
          <w:sz w:val="20"/>
        </w:rPr>
        <w:t xml:space="preserve">The Loan Agreement contains customary representations and warranties, events of default and affirmative and negative covenants, including a minimum cash covenant, which we refer to as the Minimum Cash Covenant, requiring that we maintain specified levels of cash in accounts subject to a control agreement in favor of Hercules, or the Qualified Cash, during the period commencing on July 1, 2027, or, subject to meeting certain financing milestones, July 1, 2028. The Minimum Cash Covenant will initially be set at 40% of the then outstanding obligations under the Loan Agreement, is subject to adjustment as low as 30% and as high as 60%, subject to specified clinical and regulatory milestones, and will not be tested at any time when our market capitalization is greater than $1.65 billion. We are also required to maintain minimum net product revenue from the sale of z-rostudirsen and z-basivarsen starting nine months after FDA approval of z-rostudirsen or z-basivarsen, which we refer to as the Minimum Revenue Covenant, if the outstanding obligations under the Loan Agreement exceed $100.0 million. The Minimum Revenue Covenant will not be tested for any month to the extent that for each day during such month either (i) Qualified Cash is at least 100% of our outstanding obligations under the Loan Agreement or (ii) our market capitalization is greater than $1.65 billion and Qualified Cash is at least 50% of our outstanding obligations under the Loan Agreement. Certain negative covenants under the Loan Agreement limit our ability, among other things, to incur future debt, grant liens, make investments, make acquisitions, distribute dividends, enter into transactions with affiliates, make payments on other indebtedness and sell assets, subject in each case to certain exceptions. Our business may be adversely affected by these restrictions on our ability to operate our business. If we raise any additional debt financing, as permitted by the Loan Agreement, the terms of such additional indebtedness could further restrict our operating and financial flexibility. </w:t>
      </w:r>
    </w:p>
    <w:p>
      <w:pPr>
        <w:pStyle w:val="TextBody"/>
        <w:bidi w:val="0"/>
        <w:spacing w:before="240" w:after="0"/>
        <w:jc w:val="both"/>
        <w:rPr>
          <w:rFonts w:ascii="Times New Roman" w:hAnsi="Times New Roman"/>
          <w:sz w:val="20"/>
        </w:rPr>
      </w:pPr>
      <w:r>
        <w:rPr>
          <w:rFonts w:ascii="Times New Roman" w:hAnsi="Times New Roman"/>
          <w:sz w:val="20"/>
        </w:rPr>
        <w:t xml:space="preserve">We may not be able to generate sufficient cash flow or sales to meet the Minimum Cash Covenant or the Minimum Revenue Covenant or pay the outstanding obligations under the Loan Agreement when due. Furthermore, our future working capital, borrowings or equity financings could be unavailable to repay or refinance the amounts outstanding under the Loan Agreement. In the event of a liquidation of our business, we would be required to repay all outstanding obligations under the Loan Agreement prior to the distribution of assets to unsecured creditors, and the holders of our common stock would receive a portion of any liquidation proceeds only if all of our creditors then existing, including the lenders under our Loan Agreement with Hercules, were first repaid in full. </w:t>
      </w:r>
    </w:p>
    <w:p>
      <w:pPr>
        <w:pStyle w:val="TextBody"/>
        <w:bidi w:val="0"/>
        <w:spacing w:before="240" w:after="0"/>
        <w:jc w:val="both"/>
        <w:rPr>
          <w:rFonts w:ascii="Times New Roman" w:hAnsi="Times New Roman"/>
          <w:sz w:val="20"/>
        </w:rPr>
      </w:pPr>
      <w:r>
        <w:rPr>
          <w:rFonts w:ascii="Times New Roman" w:hAnsi="Times New Roman"/>
          <w:sz w:val="20"/>
        </w:rPr>
        <w:t xml:space="preserve">If we fail to comply with the Minimum Cash Covenant, the Minimum Revenue Covenant or the other covenants under the Loan Agreement, it will result in an event of default. Upon the occurrence of an event of default, and subject to any specified cure periods, all amounts owed under the Loan Agreement may be declared immediately due and payable by the Lenders, and the Lenders may foreclose on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failure to comply with the covenants or other terms of the Loan Agreement, including as a result of events beyond our control, could result in a default under the Loan Agreement that could materially and adversely affect our business. </w:t>
      </w:r>
    </w:p>
    <w:p>
      <w:pPr>
        <w:pStyle w:val="TextBody"/>
        <w:bidi w:val="0"/>
        <w:spacing w:before="120" w:after="0"/>
        <w:jc w:val="both"/>
        <w:rPr>
          <w:rFonts w:ascii="Times New Roman" w:hAnsi="Times New Roman"/>
          <w:sz w:val="20"/>
        </w:rPr>
      </w:pPr>
      <w:r>
        <w:rPr>
          <w:rFonts w:ascii="Times New Roman" w:hAnsi="Times New Roman"/>
          <w:sz w:val="20"/>
        </w:rPr>
        <w:t xml:space="preserve">We may be required to repay the outstanding indebtedness under the Loan Agreement if an event of default occurs under the Loan Agreement or, if applicable, any future debt facility. The Loan Agreement includes customary events of default, including payment defaults, breaches of covenants following any applicable cure period, the occurrence of certain events that could reasonably be expected to have a “material adverse effect” as set forth in the Loan Agreement and cross acceleration. We may not have enough available cash or be able to raise additional funds through equity or debt financings to repay such indebtedness at the time any such event of default occurs. In this case, we may be required to delay, limit, reduce or terminate our product development or commercialization efforts or grant to others rights to develop and market product candidates that we would otherwise prefer to develop and market ourselves. Our business, financial condition and results of operations could be materially adversely affected as a result of any of these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oc98164_5"/>
      <w:bookmarkEnd w:id="7"/>
      <w:r>
        <w:rPr>
          <w:rFonts w:ascii="Times New Roman" w:hAnsi="Times New Roman"/>
          <w:b/>
          <w:sz w:val="20"/>
        </w:rPr>
        <w:t xml:space="preserve">USE OF PROCEEDS </w:t>
      </w:r>
    </w:p>
    <w:p>
      <w:pPr>
        <w:pStyle w:val="TextBody"/>
        <w:bidi w:val="0"/>
        <w:spacing w:before="240" w:after="0"/>
        <w:jc w:val="both"/>
        <w:rPr>
          <w:rFonts w:ascii="Times New Roman" w:hAnsi="Times New Roman"/>
          <w:sz w:val="20"/>
        </w:rPr>
      </w:pPr>
      <w:r>
        <w:rPr>
          <w:rFonts w:ascii="Times New Roman" w:hAnsi="Times New Roman"/>
          <w:sz w:val="20"/>
        </w:rPr>
        <w:t xml:space="preserve">We estimate that the net proceeds from our issuance and sale of $300,000,000 million of shares of our common stock in this offering will be approximately $    million, or approximately $    million if the underwriters exercise their option to purchase additional shares in full, in each case after deducting underwriting discounts and commissions and estimated offering expenses payable by us. </w:t>
      </w:r>
    </w:p>
    <w:p>
      <w:pPr>
        <w:pStyle w:val="TextBody"/>
        <w:bidi w:val="0"/>
        <w:spacing w:before="240" w:after="0"/>
        <w:jc w:val="both"/>
        <w:rPr>
          <w:rFonts w:ascii="Times New Roman" w:hAnsi="Times New Roman"/>
          <w:sz w:val="20"/>
        </w:rPr>
      </w:pPr>
      <w:r>
        <w:rPr>
          <w:rFonts w:ascii="Times New Roman" w:hAnsi="Times New Roman"/>
          <w:sz w:val="20"/>
        </w:rPr>
        <w:t xml:space="preserve">We intend to use the net proceeds from this offering, together with our existing cash, cash equivalents and marketable securities, including the third term loan tranche of $50.0 million that we borrowed under our Loan Agreement with Hercules in June 2026, to advance the development of z-rostudirsen and z-basivarsen, including ongoing and planned clinical trials and the pursuit of regulatory approvals for z-rostudirsen and z-basivarsen, to build appropriate manufacturing capabilities to support potential commercial launches of z-rostudirsen and z-basivarsen, continued expansion of commercial infrastructure and capabilities, continued research and development for our other clinical and preclinical programs, including for DMD (four additional exons), FSHD and Pompe disease, continued development and enhancement of our proprietary FORCE platform and for working capital and other general corporate purposes. </w:t>
      </w:r>
    </w:p>
    <w:p>
      <w:pPr>
        <w:pStyle w:val="TextBody"/>
        <w:bidi w:val="0"/>
        <w:spacing w:before="240" w:after="0"/>
        <w:jc w:val="both"/>
        <w:rPr>
          <w:rFonts w:ascii="Times New Roman" w:hAnsi="Times New Roman"/>
          <w:sz w:val="20"/>
        </w:rPr>
      </w:pPr>
      <w:r>
        <w:rPr>
          <w:rFonts w:ascii="Times New Roman" w:hAnsi="Times New Roman"/>
          <w:sz w:val="20"/>
        </w:rPr>
        <w:t xml:space="preserve">We believe that the net proceeds from this offering, together with our existing cash, cash equivalents and marketable securities, including the third term loan tranche of $50.0 million that we borrowed under our Loan Agreement with Hercules in June 2026, will enable us to fund our operating expenses, debt service obligations and capital expenditure requirements into the second quarter of 2028. We have based this estimate on assumptions that may prove to be wrong, and we could use our available capital resources sooner than we currently expect. This estimate does not give effect to any additional funding tranches we may obtain access to under our Loan Agreement with Hercules, subject to the achievement of specified clinical, regulatory and commercial milestones, and does not give effect to any revenue we may generate on commercial sales of any products for which we obtain regulatory approval. </w:t>
      </w:r>
    </w:p>
    <w:p>
      <w:pPr>
        <w:pStyle w:val="TextBody"/>
        <w:bidi w:val="0"/>
        <w:spacing w:before="240" w:after="0"/>
        <w:jc w:val="both"/>
        <w:rPr>
          <w:rFonts w:ascii="Times New Roman" w:hAnsi="Times New Roman"/>
          <w:sz w:val="20"/>
        </w:rPr>
      </w:pPr>
      <w:r>
        <w:rPr>
          <w:rFonts w:ascii="Times New Roman" w:hAnsi="Times New Roman"/>
          <w:sz w:val="20"/>
        </w:rPr>
        <w:t xml:space="preserve">This expected use of the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the scope, progress, costs and results of our research and development efforts, as well as any collaborations that we may enter into with third parties for our product candidates and any unforeseen cash needs. We believe opportunities may exist from time to time to expand our current business through acquisitions of complementary companies, products or technologies. While we have no current agreements, commitments or understandings for any specific acquisitions at this time, we may also use a portion of the net proceeds for these purposes. As a result, our management will retain broad discretion over the allocation of the net proceeds from this offering. </w:t>
      </w:r>
    </w:p>
    <w:p>
      <w:pPr>
        <w:pStyle w:val="TextBody"/>
        <w:bidi w:val="0"/>
        <w:spacing w:before="240" w:after="0"/>
        <w:jc w:val="both"/>
        <w:rPr>
          <w:rFonts w:ascii="Times New Roman" w:hAnsi="Times New Roman"/>
          <w:sz w:val="20"/>
        </w:rPr>
      </w:pPr>
      <w:r>
        <w:rPr>
          <w:rFonts w:ascii="Times New Roman" w:hAnsi="Times New Roman"/>
          <w:sz w:val="20"/>
        </w:rPr>
        <w:t xml:space="preserve">Pending use of the proceeds as described above, we intend to invest the net proceeds in a variety of capital preservation investments, including short-term, investment-grade, interest-bearing instruments and U.S. government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oc98164_6"/>
      <w:bookmarkEnd w:id="8"/>
      <w:r>
        <w:rPr>
          <w:rFonts w:ascii="Times New Roman" w:hAnsi="Times New Roman"/>
          <w:b/>
          <w:sz w:val="20"/>
        </w:rPr>
        <w:t xml:space="preserve">DILUTION </w:t>
      </w:r>
    </w:p>
    <w:p>
      <w:pPr>
        <w:pStyle w:val="TextBody"/>
        <w:bidi w:val="0"/>
        <w:spacing w:before="240" w:after="0"/>
        <w:jc w:val="both"/>
        <w:rPr>
          <w:rFonts w:ascii="Times New Roman" w:hAnsi="Times New Roman"/>
          <w:sz w:val="20"/>
        </w:rPr>
      </w:pPr>
      <w:r>
        <w:rPr>
          <w:rFonts w:ascii="Times New Roman" w:hAnsi="Times New Roman"/>
          <w:sz w:val="20"/>
        </w:rPr>
        <w:t xml:space="preserve">If you invest in our common stock in this offering, your ownership interest will be diluted to the extent of the difference between the public offering price per share and the pro forma as adjusted net tangible book value per share of our common stock after this offering. </w:t>
      </w:r>
    </w:p>
    <w:p>
      <w:pPr>
        <w:pStyle w:val="TextBody"/>
        <w:bidi w:val="0"/>
        <w:spacing w:before="240" w:after="0"/>
        <w:jc w:val="both"/>
        <w:rPr>
          <w:rFonts w:ascii="Times New Roman" w:hAnsi="Times New Roman"/>
          <w:sz w:val="20"/>
        </w:rPr>
      </w:pPr>
      <w:r>
        <w:rPr>
          <w:rFonts w:ascii="Times New Roman" w:hAnsi="Times New Roman"/>
          <w:sz w:val="20"/>
        </w:rPr>
        <w:t xml:space="preserve">Our historical net tangible book value as of March 31, 2026 was $865.1 million, or $5.24 per share of common stock. Our historical net tangible book value is the amount of our total tangible assets less our total liabilities. Historical net tangible book value per share represents historical net tangible book value divided by the 165,201,329 shares of our common stock outstanding as of March 31, 2026. </w:t>
      </w:r>
    </w:p>
    <w:p>
      <w:pPr>
        <w:pStyle w:val="TextBody"/>
        <w:bidi w:val="0"/>
        <w:spacing w:before="240" w:after="0"/>
        <w:jc w:val="both"/>
        <w:rPr>
          <w:rFonts w:ascii="Times New Roman" w:hAnsi="Times New Roman"/>
          <w:sz w:val="20"/>
        </w:rPr>
      </w:pPr>
      <w:r>
        <w:rPr>
          <w:rFonts w:ascii="Times New Roman" w:hAnsi="Times New Roman"/>
          <w:sz w:val="20"/>
        </w:rPr>
        <w:t xml:space="preserve">Our pro forma net tangible book value as of March 31, 2026 was $865.1 million, or $5.24 per share of common stock. Pro forma net tangible book value is the amount of our total tangible assets less our total liabilities, after giving effect to the third term loan tranche of $50.0 million that we borrowed under our Loan Agreement with Hercules in June 2026. Pro forma net tangible book value per share represents pro forma net tangible book value divided by the total number of shares outstanding as of March 31, 2026, after giving effect to the pro forma adjustment described in the immediately preceding sentence. </w:t>
      </w:r>
    </w:p>
    <w:p>
      <w:pPr>
        <w:pStyle w:val="TextBody"/>
        <w:bidi w:val="0"/>
        <w:spacing w:before="240" w:after="0"/>
        <w:jc w:val="both"/>
        <w:rPr>
          <w:rFonts w:ascii="Times New Roman" w:hAnsi="Times New Roman"/>
          <w:sz w:val="20"/>
        </w:rPr>
      </w:pPr>
      <w:r>
        <w:rPr>
          <w:rFonts w:ascii="Times New Roman" w:hAnsi="Times New Roman"/>
          <w:sz w:val="20"/>
        </w:rPr>
        <w:t xml:space="preserve">After giving further effect to our issuance and sale of shares of our common stock in this offering at the public offering price of $    per share, and after deducting underwriting discounts and commissions and estimated offering expenses payable by us, our pro forma as adjusted net tangible book value as of March 31, 2026 would have been $    million, or $    per share. This represents an immediate increase of $    in pro forma as adjusted net tangible book value per share to existing stockholders and immediate dilution of $    in pro forma as adjusted net tangible book value per share to investors purchasing shares of our common stock in this offering. Dilution per share to investors purchasing shares of our common stock in this offering is determined by subtracting pro forma as adjusted net tangible book value per share after this offering from the public offering price per share paid by investors purchasing shares of our common stock in this offering. The following table illustrates this calculation on a per share basis.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983"/>
        <w:gridCol w:w="137"/>
        <w:gridCol w:w="60"/>
        <w:gridCol w:w="581"/>
        <w:gridCol w:w="60"/>
        <w:gridCol w:w="137"/>
        <w:gridCol w:w="144"/>
        <w:gridCol w:w="1040"/>
        <w:gridCol w:w="63"/>
      </w:tblGrid>
      <w:tr>
        <w:trPr/>
        <w:tc>
          <w:tcPr>
            <w:tcW w:w="7983"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9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 per share</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04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7983"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983"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per share as of March 31, 2026</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$5.24</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9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the pro forma adjustment described above</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04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983"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tangible book value per share as of March 31, 2026</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5.24</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9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pro forma net tangible book value per share attributable to investors purchasing shares of common stock in this offering</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04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983"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983" w:type="dxa"/>
            <w:tcBorders/>
          </w:tcPr>
          <w:p>
            <w:pPr>
              <w:pStyle w:val="TableContents"/>
              <w:bidi w:val="0"/>
              <w:spacing w:before="0" w:after="0"/>
              <w:jc w:val="left"/>
              <w:rPr>
                <w:rFonts w:ascii="Times New Roman" w:hAnsi="Times New Roman"/>
                <w:sz w:val="20"/>
              </w:rPr>
            </w:pPr>
            <w:r>
              <w:rPr>
                <w:rFonts w:ascii="Times New Roman" w:hAnsi="Times New Roman"/>
                <w:sz w:val="20"/>
              </w:rPr>
              <w:t>Pro forma as adjusted net tangible book value per share as of March 31, 2026 after giving effect to this offering</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983"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9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investors purchasing shares of common stock in this offering</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04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7983"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04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the underwriters exercise their option to purchase additional shares in full, the dilution in pro forma as adjusted net tangible book value per share to investors purchasing shares of common stock in this offering would be $    per share. </w:t>
      </w:r>
    </w:p>
    <w:p>
      <w:pPr>
        <w:pStyle w:val="TextBody"/>
        <w:bidi w:val="0"/>
        <w:spacing w:before="240" w:after="0"/>
        <w:jc w:val="both"/>
        <w:rPr>
          <w:rFonts w:ascii="Times New Roman" w:hAnsi="Times New Roman"/>
          <w:sz w:val="20"/>
        </w:rPr>
      </w:pPr>
      <w:r>
        <w:rPr>
          <w:rFonts w:ascii="Times New Roman" w:hAnsi="Times New Roman"/>
          <w:sz w:val="20"/>
        </w:rPr>
        <w:t xml:space="preserve">The table and discussion above are based on 165,201,329 shares of common stock outstanding as of March 31, 2026, and exclude: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12,524,698 shares of our common stock issuable upon exercise of stock options outstanding as of March 31, 2026, at a weighted-average exercise price of $17.48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4,638,625 shares of common stock issuable upon vesting and settlement of outstanding restricted stock units as of March 31,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8,516,757 shares of common stock reserved for future issuance under the 2020 Plan, as of March 31, 2026, and any additional automatic increases in the number of shares of common stock reserved for issuance under the 2020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488,414 shares of common stock reserved for future issuance under the 2020 ESPP, as of March 31, 2026, and any additional automatic increases in the number of shares of common stock reserved for issuance under the 2020 ESPP;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2,707,447 shares of common stock reserved for future issuance under the 2024 Inducement Plan, as of March 31, 2026.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any additional shares are issued, including in connection with the exercise of options, the vesting and settlement of restricted stock units or if the underwriters exercise their option to purchase additional shares of our common stock, you may experience further dilution. </w:t>
      </w:r>
    </w:p>
    <w:p>
      <w:pPr>
        <w:pStyle w:val="TextBody"/>
        <w:bidi w:val="0"/>
        <w:spacing w:before="240" w:after="0"/>
        <w:jc w:val="both"/>
        <w:rPr>
          <w:rFonts w:ascii="Times New Roman" w:hAnsi="Times New Roman"/>
          <w:sz w:val="20"/>
        </w:rPr>
      </w:pPr>
      <w:r>
        <w:rPr>
          <w:rFonts w:ascii="Times New Roman" w:hAnsi="Times New Roman"/>
          <w:sz w:val="20"/>
        </w:rPr>
        <w:t xml:space="preserve">The pro forma as adjusted information discussed above will be based on the number of shares, the offering price and other terms determined at pricing of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oc98164_7"/>
      <w:bookmarkEnd w:id="9"/>
      <w:r>
        <w:rPr>
          <w:rFonts w:ascii="Times New Roman" w:hAnsi="Times New Roman"/>
          <w:b/>
          <w:sz w:val="20"/>
        </w:rPr>
        <w:t xml:space="preserve">MATERIAL U.S. FEDERAL INCOME TAX CONSIDERATIONS FOR NON-U.S. HOLDERS OF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The following is a discussion of the material U.S. federal income tax considerations applicable to non-U.S. holders with respect to their purchase, ownership and disposition of shares of our common stock. This discussion is for informational purposes only and is not tax advice. Accordingly, all prospective non-U.S. holders of our common stock should consult their own tax advisors with respect to the U.S. federal, state, and local and non-U.S. tax consequences of the purchase, ownership and disposition of our common stock. For purposes of this discussion, a “non-U.S. holder” means a beneficial owner (other than a partnership or other entity or arrangement classified as a partnership for U.S. federal income tax purposes) of our common stock who is not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corporation or any other organization taxable as a corporation for U.S. federal income tax purposes, created or organized in the United States or under the laws of the United States or of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trust if (1) a U.S. court is able to exercise primary supervision over the trust’s administration and one or more United States persons (as defined in the Code) has the authority to control all of the trust’s substantial decisions or (2) the trust has a valid election in effect under applicable U.S. Treasury Regulations to be treated as a United States person.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supplement, all of which are subject to change or to differing interpretation, possibly with retroactive effect. Any change or differing interpretation could alter the tax consequences to non-U.S. holders described in this prospectus supplement. In addition, there can be no assurance that the Internal Revenue Service, which we refer to as the IRS, will not challenge one or more of the tax consequences described herein. We assume in this discussion that a non-U.S. holder holds shares of our common stock as a capital asset, generally property held for investment. </w:t>
      </w:r>
    </w:p>
    <w:p>
      <w:pPr>
        <w:pStyle w:val="TextBody"/>
        <w:bidi w:val="0"/>
        <w:spacing w:before="240" w:after="0"/>
        <w:jc w:val="both"/>
        <w:rPr>
          <w:rFonts w:ascii="Times New Roman" w:hAnsi="Times New Roman"/>
          <w:sz w:val="20"/>
        </w:rPr>
      </w:pPr>
      <w:r>
        <w:rPr>
          <w:rFonts w:ascii="Times New Roman" w:hAnsi="Times New Roman"/>
          <w:sz w:val="20"/>
        </w:rPr>
        <w:t xml:space="preserve">This discussion does not address all aspects of U.S. federal income taxation that may be relevant to a particular non-U.S. holder in light of that non-U.S. holder’s individual circumstances nor does it address any aspects of U.S. state or local or non-U.S. taxes, the alternative minimum tax, gift or estate taxes, or the Medicare tax on net investment income. This discussion also does not consider any specific facts or circumstances that may apply to a non-U.S. holder and does not address the special tax rules applicable to particular non-U.S. holders,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tax-exempt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brokers or dealers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pension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controlled foreign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passive foreign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owners that hold our common stock as part of a straddle, hedge, conversion transaction, synthetic security or other integrated investment;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persons who acquired our common stock pursuant to the exercise of any employee stock option or otherwise as compensation;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certain U.S. expatriates.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this discussion does not address the tax treatment of partnerships or persons who hold our common stock through partnerships or other entities or arrangements classified as partnerships for U.S. federal income tax purposes. A partner in a partnership or other pass-through entity that will hold our common stock should consult his, her or its own tax advisor regarding the tax consequences of acquiring, holding and disposing of our common stock through a partnership or other pass-through entity, as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on our common stock </w:t>
      </w:r>
    </w:p>
    <w:p>
      <w:pPr>
        <w:pStyle w:val="TextBody"/>
        <w:bidi w:val="0"/>
        <w:spacing w:before="120" w:after="0"/>
        <w:jc w:val="both"/>
        <w:rPr>
          <w:rFonts w:ascii="Times New Roman" w:hAnsi="Times New Roman"/>
          <w:sz w:val="20"/>
        </w:rPr>
      </w:pPr>
      <w:r>
        <w:rPr>
          <w:rFonts w:ascii="Times New Roman" w:hAnsi="Times New Roman"/>
          <w:sz w:val="20"/>
        </w:rPr>
        <w:t xml:space="preserve">We do not expect to make cash distributions to holders of our common stock for the foreseeable future. Distributions, if any, on our common stock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common stock. Any remaining excess will be treated as capital gain, subject to the tax treatment described below in “Gain on sale, exchange or other taxable disposition of our common stock.” Any such distributions will also be subject to the discussion below under the section titled “Withholding and information reporting requirements—FATCA.” </w:t>
      </w:r>
    </w:p>
    <w:p>
      <w:pPr>
        <w:pStyle w:val="TextBody"/>
        <w:bidi w:val="0"/>
        <w:spacing w:before="240" w:after="0"/>
        <w:jc w:val="both"/>
        <w:rPr>
          <w:rFonts w:ascii="Times New Roman" w:hAnsi="Times New Roman"/>
          <w:sz w:val="20"/>
        </w:rPr>
      </w:pPr>
      <w:r>
        <w:rPr>
          <w:rFonts w:ascii="Times New Roman" w:hAnsi="Times New Roman"/>
          <w:sz w:val="20"/>
        </w:rPr>
        <w:t xml:space="preserve">Dividends paid to a non-U.S. holder generally will be subject to withholding of U.S. federal income tax at a 30% rate or such lower rate as may be specified by an applicable income tax treaty between the United States and such holder’s country of residence. </w:t>
      </w:r>
    </w:p>
    <w:p>
      <w:pPr>
        <w:pStyle w:val="TextBody"/>
        <w:bidi w:val="0"/>
        <w:spacing w:before="240" w:after="0"/>
        <w:jc w:val="both"/>
        <w:rPr>
          <w:rFonts w:ascii="Times New Roman" w:hAnsi="Times New Roman"/>
          <w:sz w:val="20"/>
        </w:rPr>
      </w:pPr>
      <w:r>
        <w:rPr>
          <w:rFonts w:ascii="Times New Roman" w:hAnsi="Times New Roman"/>
          <w:sz w:val="20"/>
        </w:rPr>
        <w:t xml:space="preserve">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(generally including provision of a valid IRS Form W-8ECI (or applicable successor form) certifying that the dividends are effectively connected with the non-U.S. holder’s conduct of a trade or business within the United States). However, such U.S. effectively connected income, net of specified deductions and credits, is generally taxed at the same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 </w:t>
      </w:r>
    </w:p>
    <w:p>
      <w:pPr>
        <w:pStyle w:val="TextBody"/>
        <w:bidi w:val="0"/>
        <w:spacing w:before="240" w:after="0"/>
        <w:jc w:val="both"/>
        <w:rPr>
          <w:rFonts w:ascii="Times New Roman" w:hAnsi="Times New Roman"/>
          <w:sz w:val="20"/>
        </w:rPr>
      </w:pPr>
      <w:r>
        <w:rPr>
          <w:rFonts w:ascii="Times New Roman" w:hAnsi="Times New Roman"/>
          <w:sz w:val="20"/>
        </w:rPr>
        <w:t xml:space="preserve">A non-U.S. holder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Non-U.S. holders are urged to consult their tax advisors regarding their entitlement to benefits under a relevant income tax treaty. </w:t>
      </w:r>
    </w:p>
    <w:p>
      <w:pPr>
        <w:pStyle w:val="TextBody"/>
        <w:bidi w:val="0"/>
        <w:spacing w:before="240" w:after="0"/>
        <w:jc w:val="both"/>
        <w:rPr>
          <w:rFonts w:ascii="Times New Roman" w:hAnsi="Times New Roman"/>
          <w:sz w:val="20"/>
        </w:rPr>
      </w:pPr>
      <w:r>
        <w:rPr>
          <w:rFonts w:ascii="Times New Roman" w:hAnsi="Times New Roman"/>
          <w:sz w:val="20"/>
        </w:rPr>
        <w:t xml:space="preserve">A non-U.S. holder that is eligible for a reduced rate of U.S. withholding tax under an income tax treaty may obtain a refund or credit of any excess amounts withheld by timely filing the required information with the IRS. </w:t>
      </w:r>
    </w:p>
    <w:p>
      <w:pPr>
        <w:pStyle w:val="TextBody"/>
        <w:bidi w:val="0"/>
        <w:spacing w:before="360" w:after="0"/>
        <w:jc w:val="left"/>
        <w:rPr>
          <w:rFonts w:ascii="Times New Roman" w:hAnsi="Times New Roman"/>
          <w:b/>
          <w:sz w:val="20"/>
        </w:rPr>
      </w:pPr>
      <w:r>
        <w:rPr>
          <w:rFonts w:ascii="Times New Roman" w:hAnsi="Times New Roman"/>
          <w:b/>
          <w:sz w:val="20"/>
        </w:rPr>
        <w:t xml:space="preserve">Gain on sale, exchange or other taxable disposition of our common stock </w:t>
      </w:r>
    </w:p>
    <w:p>
      <w:pPr>
        <w:pStyle w:val="TextBody"/>
        <w:bidi w:val="0"/>
        <w:spacing w:before="120" w:after="0"/>
        <w:jc w:val="both"/>
        <w:rPr>
          <w:rFonts w:ascii="Times New Roman" w:hAnsi="Times New Roman"/>
          <w:sz w:val="20"/>
        </w:rPr>
      </w:pPr>
      <w:r>
        <w:rPr>
          <w:rFonts w:ascii="Times New Roman" w:hAnsi="Times New Roman"/>
          <w:sz w:val="20"/>
        </w:rPr>
        <w:t xml:space="preserve">In general, a non-U.S. holder will not be subject to any U.S. federal income tax on any gain realized upon such holder’s sale, exchange or other taxable disposition of shares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gain is effectively connected with the non-U.S. holder’s conduct of a trade or business within the United States and, if an applicable income tax treaty so provides, is attributable to a permanent establishment or a fixed base maintained by such non-U.S. holder in the United States, in which case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non-U.S. holder generally will be taxed at the U.S. federal income tax rates applicable to United States persons (as defined in the Code) and, if the non-U.S. holder is a foreign corporation, the branch profits tax described above in “Distributions on our common stock” also may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non-U.S. holder is a nonresident alien individual who is present in the United States for 183 days or more in the taxable year of the taxable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taxable disposition, which may be offset by certain U.S.-source capital losses of the non-U.S. holder, if any;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are, or have been, at any time during the five-year period preceding such taxable disposition (or the non-U.S. holder’s holding period, if shorter) a “U.S. real property holding corporation,” unless our common stock is regularly traded on an established securities market and the non-U.S. holder holds no more than 5% of our outstanding common stock, directly or indirectly, during the shorter of the five-year period ending on the date of the taxable disposition or the period that the non-U.S. holder held our common stock. If we are determined to be a U.S. real property holding corporation and the foregoing exception does not apply, then the non-U.S. holder generally will be taxed on its net gain derived from the disposition at the U.S. federal income tax rates applicable to United States persons (as defined in the Code). Generally, a corporation is a U.S. real property holding corporation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be regularly traded on an established securities market for purposes of the rules described above.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120" w:after="0"/>
        <w:jc w:val="both"/>
        <w:rPr>
          <w:rFonts w:ascii="Times New Roman" w:hAnsi="Times New Roman"/>
          <w:sz w:val="20"/>
        </w:rPr>
      </w:pPr>
      <w:r>
        <w:rPr>
          <w:rFonts w:ascii="Times New Roman" w:hAnsi="Times New Roman"/>
          <w:sz w:val="20"/>
        </w:rPr>
        <w:t xml:space="preserve">We must report annually to the IRS and to each non-U.S. holder the gross amount of the distributions on our common stock paid to such holder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 respect to dividends on our common stock. Generally, a non-U.S. holder will comply with such procedures if it provides a properly executed IRS Form W-8BEN or W-8BEN-E (or other applicable Form W-8) or otherwise meets the documentary evidence requirements for establishing that it is a not a United States person or otherwise establishes an exemption. Dividends paid to non-U.S. holders subject to withholding of U.S. federal income tax, as described above in “Distributions on our common stock,” generally will be exempt from U.S. backup withholding. </w:t>
      </w:r>
    </w:p>
    <w:p>
      <w:pPr>
        <w:pStyle w:val="TextBody"/>
        <w:bidi w:val="0"/>
        <w:spacing w:before="240" w:after="0"/>
        <w:jc w:val="both"/>
        <w:rPr>
          <w:rFonts w:ascii="Times New Roman" w:hAnsi="Times New Roman"/>
          <w:sz w:val="20"/>
        </w:rPr>
      </w:pPr>
      <w:r>
        <w:rPr>
          <w:rFonts w:ascii="Times New Roman" w:hAnsi="Times New Roman"/>
          <w:sz w:val="20"/>
        </w:rPr>
        <w:t xml:space="preserve">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 </w:t>
      </w:r>
    </w:p>
    <w:p>
      <w:pPr>
        <w:pStyle w:val="TextBody"/>
        <w:bidi w:val="0"/>
        <w:spacing w:before="240" w:after="0"/>
        <w:jc w:val="both"/>
        <w:rPr>
          <w:rFonts w:ascii="Times New Roman" w:hAnsi="Times New Roman"/>
          <w:sz w:val="20"/>
        </w:rPr>
      </w:pPr>
      <w:r>
        <w:rPr>
          <w:rFonts w:ascii="Times New Roman" w:hAnsi="Times New Roman"/>
          <w:sz w:val="20"/>
        </w:rPr>
        <w:t xml:space="preserve">Copies of information returns may be made available to the tax authorities of the country in which the non-U.S. holder resides or is incorporated under the provisions of a specific treaty or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Backup withholding is not an additional tax. Any amounts withheld under the backup withholding rules from a payment to a non-U.S. holder can be refunded or credited against the non-U.S. holder’s U.S. federal income tax liability, if any, provided that an appropriate claim is timely filed with the IRS. </w:t>
      </w:r>
    </w:p>
    <w:p>
      <w:pPr>
        <w:pStyle w:val="TextBody"/>
        <w:bidi w:val="0"/>
        <w:spacing w:before="360" w:after="0"/>
        <w:jc w:val="left"/>
        <w:rPr>
          <w:rFonts w:ascii="Times New Roman" w:hAnsi="Times New Roman"/>
          <w:b/>
          <w:sz w:val="20"/>
        </w:rPr>
      </w:pPr>
      <w:r>
        <w:rPr>
          <w:rFonts w:ascii="Times New Roman" w:hAnsi="Times New Roman"/>
          <w:b/>
          <w:sz w:val="20"/>
        </w:rPr>
        <w:t xml:space="preserve">Withholding and information reporting requirements—FATCA </w:t>
      </w:r>
    </w:p>
    <w:p>
      <w:pPr>
        <w:pStyle w:val="TextBody"/>
        <w:bidi w:val="0"/>
        <w:spacing w:before="120" w:after="0"/>
        <w:jc w:val="both"/>
        <w:rPr>
          <w:rFonts w:ascii="Times New Roman" w:hAnsi="Times New Roman"/>
          <w:sz w:val="20"/>
        </w:rPr>
      </w:pPr>
      <w:r>
        <w:rPr>
          <w:rFonts w:ascii="Times New Roman" w:hAnsi="Times New Roman"/>
          <w:sz w:val="20"/>
        </w:rPr>
        <w:t xml:space="preserve">Provisions of the Code commonly referred to as the Foreign Account Tax Compliance Act, or FATCA, generally impose a U.S. federal withholding tax at a rate of 30% on payments of dividends on, or gross proceeds from the sale or other disposition of, our common stock paid to foreign entities,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w:t>
      </w:r>
    </w:p>
    <w:p>
      <w:pPr>
        <w:pStyle w:val="TextBody"/>
        <w:bidi w:val="0"/>
        <w:spacing w:before="240" w:after="0"/>
        <w:jc w:val="both"/>
        <w:rPr>
          <w:rFonts w:ascii="Times New Roman" w:hAnsi="Times New Roman"/>
          <w:sz w:val="20"/>
        </w:rPr>
      </w:pPr>
      <w:r>
        <w:rPr>
          <w:rFonts w:ascii="Times New Roman" w:hAnsi="Times New Roman"/>
          <w:sz w:val="20"/>
        </w:rPr>
        <w:t xml:space="preserve">Withholding under FATCA generally will apply to payments of dividends on our common stock. While withholding under FATCA may apply to payments of gross proceeds from a sale or other disposition of our common stock, under proposed U.S. Treasury Regulations, withholding on payments of gross proceeds is not required. Although such regulations are not final, applicable withholding agents may rely on the proposed regulations until final regulations are issued. </w:t>
      </w:r>
    </w:p>
    <w:p>
      <w:pPr>
        <w:pStyle w:val="TextBody"/>
        <w:bidi w:val="0"/>
        <w:spacing w:before="240" w:after="0"/>
        <w:jc w:val="both"/>
        <w:rPr>
          <w:rFonts w:ascii="Times New Roman" w:hAnsi="Times New Roman"/>
          <w:sz w:val="20"/>
        </w:rPr>
      </w:pPr>
      <w:r>
        <w:rPr>
          <w:rFonts w:ascii="Times New Roman" w:hAnsi="Times New Roman"/>
          <w:sz w:val="20"/>
        </w:rPr>
        <w:t xml:space="preserve">If withholding under FATCA is required on any payment related to our common stock, investors not otherwise subject to withholding (or that otherwise would be entitled to a reduced rate of withholding) on such payment may be required to seek a refund or credit from the IRS. An intergovernmental agreement between the United States and an applicable foreign country may modify these rules. Non-U.S. holders should consult their own tax advisors regarding the possible implications of FATCA on their investment in our common stock and the entities through which they hold our common stock. </w:t>
      </w:r>
    </w:p>
    <w:p>
      <w:pPr>
        <w:pStyle w:val="TextBody"/>
        <w:bidi w:val="0"/>
        <w:spacing w:before="240" w:after="0"/>
        <w:jc w:val="both"/>
        <w:rPr>
          <w:rFonts w:ascii="Times New Roman" w:hAnsi="Times New Roman"/>
          <w:b/>
          <w:sz w:val="20"/>
        </w:rPr>
      </w:pPr>
      <w:r>
        <w:rPr>
          <w:rFonts w:ascii="Times New Roman" w:hAnsi="Times New Roman"/>
          <w:b/>
          <w:sz w:val="20"/>
        </w:rPr>
        <w:t xml:space="preserve">The preceding discussion of material U.S. federal tax considerations is for informational purposes only. It is not legal or tax advice. Prospective investors should consult their own tax advisors regarding the particular U.S. federal, state, local and non-U.S. tax consequences of purchasing, holding and disposing of our common stock, including the consequences of any proposed changes in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oc98164_8"/>
      <w:bookmarkEnd w:id="10"/>
      <w:r>
        <w:rPr>
          <w:rFonts w:ascii="Times New Roman" w:hAnsi="Times New Roman"/>
          <w:b/>
          <w:sz w:val="20"/>
        </w:rPr>
        <w:t xml:space="preserve">UNDERWRITERS </w:t>
      </w:r>
    </w:p>
    <w:p>
      <w:pPr>
        <w:pStyle w:val="TextBody"/>
        <w:bidi w:val="0"/>
        <w:spacing w:before="240" w:after="0"/>
        <w:jc w:val="both"/>
        <w:rPr>
          <w:rFonts w:ascii="Times New Roman" w:hAnsi="Times New Roman"/>
          <w:sz w:val="20"/>
        </w:rPr>
      </w:pPr>
      <w:r>
        <w:rPr>
          <w:rFonts w:ascii="Times New Roman" w:hAnsi="Times New Roman"/>
          <w:sz w:val="20"/>
        </w:rPr>
        <w:t xml:space="preserve">Under the terms and subject to the conditions in an underwriting agreement dated the date of this prospectus supplement, the underwriters named below, for whom Morgan Stanley &amp; Co. LLC and Jefferies LLC are acting as representatives, have severally agreed to purchase, and we have agreed to sell to them, severally, the number of shares indicated below: </w:t>
      </w:r>
    </w:p>
    <w:p>
      <w:pPr>
        <w:pStyle w:val="TextBody"/>
        <w:bidi w:val="0"/>
        <w:spacing w:before="0" w:after="0"/>
        <w:jc w:val="left"/>
        <w:rPr/>
      </w:pPr>
      <w:r>
        <w:rPr/>
        <w:t> </w:t>
      </w:r>
    </w:p>
    <w:tbl>
      <w:tblPr>
        <w:tblW w:w="3750" w:type="pct"/>
        <w:jc w:val="center"/>
        <w:tblInd w:w="0" w:type="dxa"/>
        <w:tblLayout w:type="fixed"/>
        <w:tblCellMar>
          <w:top w:w="0" w:type="dxa"/>
          <w:left w:w="0" w:type="dxa"/>
          <w:bottom w:w="0" w:type="dxa"/>
          <w:right w:w="0" w:type="dxa"/>
        </w:tblCellMar>
      </w:tblPr>
      <w:tblGrid>
        <w:gridCol w:w="6344"/>
        <w:gridCol w:w="183"/>
        <w:gridCol w:w="60"/>
        <w:gridCol w:w="1003"/>
        <w:gridCol w:w="63"/>
      </w:tblGrid>
      <w:tr>
        <w:trPr/>
        <w:tc>
          <w:tcPr>
            <w:tcW w:w="6344"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344"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Name</w:t>
            </w:r>
          </w:p>
        </w:tc>
        <w:tc>
          <w:tcPr>
            <w:tcW w:w="183" w:type="dxa"/>
            <w:tcBorders/>
            <w:vAlign w:val="bottom"/>
          </w:tcPr>
          <w:p>
            <w:pPr>
              <w:pStyle w:val="TableContents"/>
              <w:bidi w:val="0"/>
              <w:spacing w:before="0" w:after="283"/>
              <w:jc w:val="left"/>
              <w:rPr/>
            </w:pPr>
            <w:r>
              <w:rPr/>
              <w:t>  </w:t>
            </w:r>
          </w:p>
        </w:tc>
        <w:tc>
          <w:tcPr>
            <w:tcW w:w="1063"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Number of</w:t>
              <w:br/>
              <w:t>Shares</w:t>
            </w:r>
          </w:p>
        </w:tc>
        <w:tc>
          <w:tcPr>
            <w:tcW w:w="63" w:type="dxa"/>
            <w:tcBorders/>
            <w:vAlign w:val="bottom"/>
          </w:tcPr>
          <w:p>
            <w:pPr>
              <w:pStyle w:val="TableContents"/>
              <w:bidi w:val="0"/>
              <w:spacing w:before="0" w:after="283"/>
              <w:jc w:val="left"/>
              <w:rPr/>
            </w:pPr>
            <w:r>
              <w:rPr/>
              <w:t> </w:t>
            </w:r>
          </w:p>
        </w:tc>
      </w:tr>
      <w:tr>
        <w:trPr/>
        <w:tc>
          <w:tcPr>
            <w:tcW w:w="63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6344" w:type="dxa"/>
            <w:tcBorders/>
          </w:tcPr>
          <w:p>
            <w:pPr>
              <w:pStyle w:val="TableContents"/>
              <w:bidi w:val="0"/>
              <w:spacing w:before="0" w:after="0"/>
              <w:jc w:val="left"/>
              <w:rPr>
                <w:rFonts w:ascii="Times New Roman" w:hAnsi="Times New Roman"/>
                <w:sz w:val="20"/>
              </w:rPr>
            </w:pPr>
            <w:r>
              <w:rPr>
                <w:rFonts w:ascii="Times New Roman" w:hAnsi="Times New Roman"/>
                <w:sz w:val="20"/>
              </w:rPr>
              <w:t>Jefferies LLC</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0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3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Evercore Group L.L.C.</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0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344" w:type="dxa"/>
            <w:tcBorders/>
          </w:tcPr>
          <w:p>
            <w:pPr>
              <w:pStyle w:val="TableContents"/>
              <w:bidi w:val="0"/>
              <w:spacing w:before="0" w:after="0"/>
              <w:jc w:val="left"/>
              <w:rPr>
                <w:rFonts w:ascii="Times New Roman" w:hAnsi="Times New Roman"/>
                <w:sz w:val="20"/>
              </w:rPr>
            </w:pPr>
            <w:r>
              <w:rPr>
                <w:rFonts w:ascii="Times New Roman" w:hAnsi="Times New Roman"/>
                <w:sz w:val="20"/>
              </w:rPr>
              <w:t>LifeSci Capital LLC</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0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3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Raymond James &amp; Associates, Inc.</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0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344" w:type="dxa"/>
            <w:tcBorders/>
          </w:tcPr>
          <w:p>
            <w:pPr>
              <w:pStyle w:val="TableContents"/>
              <w:bidi w:val="0"/>
              <w:spacing w:before="0" w:after="0"/>
              <w:jc w:val="left"/>
              <w:rPr>
                <w:rFonts w:ascii="Times New Roman" w:hAnsi="Times New Roman"/>
                <w:sz w:val="20"/>
              </w:rPr>
            </w:pPr>
            <w:r>
              <w:rPr>
                <w:rFonts w:ascii="Times New Roman" w:hAnsi="Times New Roman"/>
                <w:sz w:val="20"/>
              </w:rPr>
              <w:t>Jones Trading Institutional Services LLC</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0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344"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3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0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344"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0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supplement are subject to the approval of certain legal matters by their counsel and to certain other conditions. The underwriters are obligated to take and pay for all of the shares of common stock offered by this prospectus supplement if any such shares are taken. However, the underwriters are not required to take or pay for the shares covered by the underwriters’ option to purchase additional shares described below. </w:t>
      </w:r>
    </w:p>
    <w:p>
      <w:pPr>
        <w:pStyle w:val="TextBody"/>
        <w:bidi w:val="0"/>
        <w:spacing w:before="240" w:after="0"/>
        <w:jc w:val="both"/>
        <w:rPr>
          <w:rFonts w:ascii="Times New Roman" w:hAnsi="Times New Roman"/>
          <w:sz w:val="20"/>
        </w:rPr>
      </w:pPr>
      <w:r>
        <w:rPr>
          <w:rFonts w:ascii="Times New Roman" w:hAnsi="Times New Roman"/>
          <w:sz w:val="20"/>
        </w:rPr>
        <w:t xml:space="preserve">The underwriters initially propose to offer part of the shares of common stock directly to the public at the offering price listed on the cover page of this prospectus supplement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 </w:t>
      </w:r>
    </w:p>
    <w:p>
      <w:pPr>
        <w:pStyle w:val="TextBody"/>
        <w:bidi w:val="0"/>
        <w:spacing w:before="240" w:after="0"/>
        <w:jc w:val="both"/>
        <w:rPr>
          <w:rFonts w:ascii="Times New Roman" w:hAnsi="Times New Roman"/>
          <w:sz w:val="20"/>
        </w:rPr>
      </w:pPr>
      <w:r>
        <w:rPr>
          <w:rFonts w:ascii="Times New Roman" w:hAnsi="Times New Roman"/>
          <w:sz w:val="20"/>
        </w:rPr>
        <w:t xml:space="preserve">We have granted to the underwriters an option, exercisable for 30 days from the date of this prospectus supplement, to purchase up to    additional shares of common stock at the public offering price listed on the cover page of this prospectus supplement,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shows the per share and total public offering price, underwriting discounts and commissions, and proceeds before expenses to us. These amounts are shown assuming both no exercise and full exercise of the underwriters’ option to purchase up to an additional    shares of common stock.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00"/>
        <w:gridCol w:w="209"/>
        <w:gridCol w:w="144"/>
        <w:gridCol w:w="1041"/>
        <w:gridCol w:w="60"/>
        <w:gridCol w:w="209"/>
        <w:gridCol w:w="144"/>
        <w:gridCol w:w="1310"/>
        <w:gridCol w:w="60"/>
        <w:gridCol w:w="209"/>
        <w:gridCol w:w="144"/>
        <w:gridCol w:w="1310"/>
        <w:gridCol w:w="65"/>
      </w:tblGrid>
      <w:tr>
        <w:trPr/>
        <w:tc>
          <w:tcPr>
            <w:tcW w:w="5300"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30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317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530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w:t>
              <w:br/>
              <w:t>Exercise</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Full</w:t>
              <w:br/>
              <w:t>Exercise</w:t>
            </w:r>
          </w:p>
        </w:tc>
        <w:tc>
          <w:tcPr>
            <w:tcW w:w="65" w:type="dxa"/>
            <w:tcBorders/>
            <w:vAlign w:val="bottom"/>
          </w:tcPr>
          <w:p>
            <w:pPr>
              <w:pStyle w:val="TableContents"/>
              <w:bidi w:val="0"/>
              <w:spacing w:before="0" w:after="283"/>
              <w:jc w:val="left"/>
              <w:rPr/>
            </w:pPr>
            <w:r>
              <w:rPr/>
              <w:t> </w:t>
            </w:r>
          </w:p>
        </w:tc>
      </w:tr>
      <w:tr>
        <w:trPr/>
        <w:tc>
          <w:tcPr>
            <w:tcW w:w="5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20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3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31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5300"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to be paid by us:</w:t>
            </w:r>
          </w:p>
        </w:tc>
        <w:tc>
          <w:tcPr>
            <w:tcW w:w="20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3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1310"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5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20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3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31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estimated offering expenses payable by us, exclusive of the underwriting discounts and commissions, are approximately $    . We have agreed to reimburse the underwriters for expenses relating to clearance of this offering with the Financial Industry Regulatory Authority up to $25,000. </w:t>
      </w:r>
    </w:p>
    <w:p>
      <w:pPr>
        <w:pStyle w:val="TextBody"/>
        <w:bidi w:val="0"/>
        <w:spacing w:before="240" w:after="0"/>
        <w:jc w:val="both"/>
        <w:rPr>
          <w:rFonts w:ascii="Times New Roman" w:hAnsi="Times New Roman"/>
          <w:sz w:val="20"/>
        </w:rPr>
      </w:pPr>
      <w:r>
        <w:rPr>
          <w:rFonts w:ascii="Times New Roman" w:hAnsi="Times New Roman"/>
          <w:sz w:val="20"/>
        </w:rPr>
        <w:t xml:space="preserve">Our common stock is listed on The Nasdaq Global Select Market under the trading symbol “DYN.” </w:t>
      </w:r>
    </w:p>
    <w:p>
      <w:pPr>
        <w:pStyle w:val="TextBody"/>
        <w:bidi w:val="0"/>
        <w:spacing w:before="240" w:after="0"/>
        <w:jc w:val="both"/>
        <w:rPr>
          <w:rFonts w:ascii="Times New Roman" w:hAnsi="Times New Roman"/>
          <w:sz w:val="20"/>
        </w:rPr>
      </w:pPr>
      <w:r>
        <w:rPr>
          <w:rFonts w:ascii="Times New Roman" w:hAnsi="Times New Roman"/>
          <w:sz w:val="20"/>
        </w:rPr>
        <w:t xml:space="preserve">We have agreed that, during the period ending 60 days after the date of this prospectus supplement, which we refer to as the “restricted period”, we will not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of 1933, as amended, or the Securities Act, relating to, any shares of our common stock or any securities convertible into or exercisable or exchangeable for shares of our common stock, or publicly disclose the intention to undertake any of the foregoing, or (ii) enter into any swap, hedging or other agreement that transfers, in whole or in part, any of the economic consequences of ownership of the shares of common stock or any such other securities, whether any such transaction described in clause (i) or (ii) above is to be settled by delivery of shares of common stock or such other securities, in cash or otherwise, without the prior written consent of Morgan Stanley &amp; Co. LLC and Jefferies LLC, other than the shares of our common stock to be sold in this offering. </w:t>
      </w:r>
    </w:p>
    <w:p>
      <w:pPr>
        <w:pStyle w:val="TextBody"/>
        <w:bidi w:val="0"/>
        <w:spacing w:before="240" w:after="0"/>
        <w:jc w:val="both"/>
        <w:rPr>
          <w:rFonts w:ascii="Times New Roman" w:hAnsi="Times New Roman"/>
          <w:sz w:val="20"/>
        </w:rPr>
      </w:pPr>
      <w:r>
        <w:rPr>
          <w:rFonts w:ascii="Times New Roman" w:hAnsi="Times New Roman"/>
          <w:sz w:val="20"/>
        </w:rPr>
        <w:t xml:space="preserve">The restrictions on our actions described above do not apply to (i) the issuance of shares of our common stock or securities convertible into or exercisable for shares of our common stock pursuant to the conversion or exchange of convertible or exchangeable securities or the exercise of warrants or options (including net exercise) or the settlement of restricted stock units (including net settlement), in each case outstanding on the date of the underwriting agreement and described in this prospectus supplement; (ii) grants of stock options, stock awards, restricted stock, restricted stock units, or other equity awards and the issuance of shares of our common stock or securities convertible into or exercisable or exchangeable for shares of our common stock (whether upon the exercise of stock options or otherwise) to our employees, officers, directors, advisors, or consultants pursuant to the terms of an equity compensation plan in effect as of the closing of this offering and described in this prospectus supplement, provided that we shall cause each newly appointed director or executive officer that is a recipient of such shares of our common stock or other of our securities to enter into a lock-up agreement with the underwriters; (iii) our filing of any registration statement on Form S-8 relating to securities granted or to be granted pursuant to any plan in effect on the date of the underwriting agreement and described in this prospectus supplement or any assumed benefit plan pursuant to an acquisition or similar strategic transaction; (iv) the sale of shares of our common stock in “at-the-market” offerings pursuant to that Open Market Sale Agreement, by and between us and Jefferies LLC, dated November 4, 2021, as amended from time to time, or the Sales Agreement; provided, that no sales shall be made until 30 days from the date of this prospectus supplement; (v) shares of our common stock or other securities issued in connection with a transaction with an unaffiliated third party that includes a debt financing or a bona fide commercial relationship (including joint ventures, marketing or distribution arrangements, collaboration agreements or intellectual property license agreements) or any acquisition of assets or acquisition of not less than a majority or controlling portion of the equity of another entity, provided that (x) the aggregate number of shares issued pursuant to this clause (v) shall not exceed five percent (5%) of the total number of outstanding shares of our common stock immediately following the issuance and sale of the common stock pursuant hereto and (y) the recipient of any such shares of our common stock or other securities issued pursuant to this clause (v) during the restricted period described above shall enter into an agreement substantially in the form of the lock-up agreement. </w:t>
      </w:r>
    </w:p>
    <w:p>
      <w:pPr>
        <w:pStyle w:val="TextBody"/>
        <w:bidi w:val="0"/>
        <w:spacing w:before="240" w:after="0"/>
        <w:jc w:val="both"/>
        <w:rPr>
          <w:rFonts w:ascii="Times New Roman" w:hAnsi="Times New Roman"/>
          <w:sz w:val="20"/>
        </w:rPr>
      </w:pPr>
      <w:r>
        <w:rPr>
          <w:rFonts w:ascii="Times New Roman" w:hAnsi="Times New Roman"/>
          <w:sz w:val="20"/>
        </w:rPr>
        <w:t xml:space="preserve">Our directors and officers, each of which we refer to as a “lock-up party,” have agreed that, without the prior written consent of Morgan Stanley &amp; Co. LLC and Jefferies LLC on behalf of the underwriters, they will not, and will cause any direct or indirect affiliate to not, during the restricted period: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shares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(including, without limitation, common stock or such other securities which may be deemed to be beneficially owned by the lock-up party in accordance with the rules and regulations of the SEC and securities which may be issued upon exercise of a stock option or warrant), or the “lock-up securities” (provided that with respect to directors who are affiliated with our stockholders, such lockups do not pertain to securities held by such stockholders); (ii) enter into any hedging, swap or other agreement or transaction that transfers, in whole or in part, any of the economic consequences of ownership of the lock-up securities, whether any such transaction described in clause (i) or (ii) is to be settled by delivery of lock-up securities, in cash or otherwise; (iii) make any demand for or exercise any right with respect to the registration of any lock-up securities, or (iv) publicly disclose the intention to do any of the foregoing. </w:t>
      </w:r>
    </w:p>
    <w:p>
      <w:pPr>
        <w:pStyle w:val="TextBody"/>
        <w:bidi w:val="0"/>
        <w:spacing w:before="240" w:after="0"/>
        <w:jc w:val="both"/>
        <w:rPr>
          <w:rFonts w:ascii="Times New Roman" w:hAnsi="Times New Roman"/>
          <w:sz w:val="20"/>
        </w:rPr>
      </w:pPr>
      <w:r>
        <w:rPr>
          <w:rFonts w:ascii="Times New Roman" w:hAnsi="Times New Roman"/>
          <w:sz w:val="20"/>
        </w:rPr>
        <w:t xml:space="preserve">The restrictions described in the immediately preceding paragraph to do not apply to: (a) the transfer or disposition of the lock-up party’s lock-up securities (i) as a bona fide gift or gifts, or for bona fide estate planning purposes, (ii) by will, other testamentary document or intestacy, (iii) to any trust for the direct or indirect benefit of the lock-up party or the immediate family of the lock-up party, or if the lock-up party is a trust, to a trustor or beneficiary of the trust or to the estate of a beneficiary of such trust, (iv) to a corporation, partnership, limited liability company, trust or other entity of which the lock-up party and/or one or more members of the immediate family of the lock-up party are, directly or indirectly, the legal and beneficial owner of all of the outstanding equity securities or similar interests; (v) to a nominee or custodian of a person or entity to whom a disposition or transfer would be permissible under clauses (i) through (iv) above, (vi) if the lock-up party is a corporation, partnership, limited liability company, trust or other business entity, (A) to another corporation, partnership, limited liability company, trust or other business entity that is an affiliate (as defined in Rule 405 promulgated under the Securities Act) of the lock-up party, or to any investment fund or other entity controlling, controlled by, managing or managed by or under common control with the lock-up party or affiliates of the lock-up party (including, for the avoidance of doubt, where the lock-up party is a partnership, to its general partner or a successor partnership or fund, or any other funds managed by such partnership), or (B) as part of a distribution or other transfer to general or limited partners, members or shareholders, or other holders of equity in, the lock-up party, (vii) by operation of law, such as pursuant to a qualified domestic order, divorce settlement, divorce decree, separation agreement or court order, (viii) to us from an employee or other service provider of ours upon death, disability or termination of employment or service relationship, in each case, of such employee or service provider, (ix) as part of a sale of the lock-up party’s lock-up securities acquired in this offering (other than, in the case of an officer or director of ours, any shares of common stock such officer or director may purchase in this offering) or in open market transactions after the closing date for this offering, (x) to us in connection with the vesting, settlement,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rights, provided that any such shares of common stock received upon such exercise, vesting or settlement shall be subject to the terms of the lock-up agreement, and provided further that any such restricted stock units, options, warrants or rights are held by the lock-up party pursuant to an agreement or equity award granted under a stock incentive plan or other equity award plan or other arrangement, (xi) pursuant to a bona fide third-party tender offer, merger, consolidation or other similar transaction that is approved by our board of directors and made to all holders of our capital stock involving a change of control; provided that in the event that such tender offer, merger, consolidation or other similar transaction is not completed, the lock-up party’s lock-up securities shall remain subject to the provisions of the lock-up agreement, or (xii) pursuant to a contract, instruction or plan that met the requirements of Rule 10b5-1 under the Exchange Act on the date such contract, instruction or plan was entered into or adopted, or a 10b5-1 Plan; provided that such 10b5-1 Plan was established prior to the execution of the lock-up agreement by the lock-up party, the existence and details of such 10b5-1 Plan were communicated to the representatives and such 10b5-1 Plan will not be amended or otherwise modified during the restricted period; provided, further, that any filing under Section 16(a) of the Exchange Act in connection with such transfer shall indicate, to the extent permitted by such section and the related rules and regulations, that such transfer was pursuant to a 10b5-1 Plan; provided that (A) in the case of any transfer, disposition or distribution pursuant to clause (a)(i), (ii), (iii), (iv), (v), (vi) and (vii), such transfer shall not involve a disposition for value and each donee, devisee, transferee or distributee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execute and deliver to the representatives a lock-up agreement, (B) in the case of any transfer or distribution pursuant to clause (a) (ii), (iii), (iv), (v), (vi) and (ix), no filing by any party (donor, donee, devisee, transferor, transferee, distributer or distributee) under the Exchange Act, or other public announcement shall be required or shall be made voluntarily in connection with such transfer or distribution (other than a filing on a Form 5 or any required Schedule 13F, Schedule 13G or Schedule 13G/A, in each case made after the expiration of the restricted period referred to above) and (C) in the case of any transfer, disposition or distribution pursuant to clause (a)(i), (vii), (viii) and (x)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of such transfer; (b) the exercise of outstanding options, the settlement of restricted stock units or other equity awards granted pursuant to plans or other equity compensation arrangements or exercise warrants; provided that any lock-up securities received upon such exercise, vesting or settlement shall be subject to the terms of the lock-up agreement; (c) the conversion of convertible securities or warrants to acquire shares of common stock into shares of common stock; provided that any such shares of common stock or warrants received upon such conversion shall be subject to the terms of the lock-up agreement; and (d) the establishment of one or more trading plans pursuant to Rule 10b5-1 under the Exchange Act for the transfer or disposition of lock-up securities; provided that (1) such plans do not provide for the transfer or disposition of lock-up securities during the restricted period, (2) no filing or public announcement shall be made voluntarily in connection with such trading plan and (3) any required public announcement or filing under the Exchange Act made by the lock-up party, us or any other person regarding the establishment of such trading plan during the restricted period shall include a statement that the lock-up party is not permitted to transfer, sell or otherwise dispose of securities under such trading plan during the restricted period in contravention of the lock-up agreement. </w:t>
      </w:r>
    </w:p>
    <w:p>
      <w:pPr>
        <w:pStyle w:val="TextBody"/>
        <w:bidi w:val="0"/>
        <w:spacing w:before="240" w:after="0"/>
        <w:jc w:val="both"/>
        <w:rPr>
          <w:rFonts w:ascii="Times New Roman" w:hAnsi="Times New Roman"/>
          <w:sz w:val="20"/>
        </w:rPr>
      </w:pPr>
      <w:r>
        <w:rPr>
          <w:rFonts w:ascii="Times New Roman" w:hAnsi="Times New Roman"/>
          <w:sz w:val="20"/>
        </w:rPr>
        <w:t xml:space="preserve">Morgan Stanley &amp; Co. LLC and Jefferies LLC, in their sole discretion, may release the common stock and other securities subject to the lock-up agreements described above in whole or in part at any time. </w:t>
      </w:r>
    </w:p>
    <w:p>
      <w:pPr>
        <w:pStyle w:val="TextBody"/>
        <w:bidi w:val="0"/>
        <w:spacing w:before="240" w:after="0"/>
        <w:jc w:val="both"/>
        <w:rPr>
          <w:rFonts w:ascii="Times New Roman" w:hAnsi="Times New Roman"/>
          <w:sz w:val="20"/>
        </w:rPr>
      </w:pPr>
      <w:r>
        <w:rPr>
          <w:rFonts w:ascii="Times New Roman" w:hAnsi="Times New Roman"/>
          <w:sz w:val="20"/>
        </w:rPr>
        <w:t xml:space="preserve">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to purchase additional shares. The underwriters can close out a covered short sale by exercising the option to purchase additional shares or purchasing shares in the open market. In determining the source of shares to close out a covered short sale, the underwriters will consider, among other things, the open market price of shares compared to the price available under the option to purchase additional shares.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 </w:t>
      </w:r>
    </w:p>
    <w:p>
      <w:pPr>
        <w:pStyle w:val="TextBody"/>
        <w:bidi w:val="0"/>
        <w:spacing w:before="240" w:after="0"/>
        <w:jc w:val="both"/>
        <w:rPr>
          <w:rFonts w:ascii="Times New Roman" w:hAnsi="Times New Roman"/>
          <w:sz w:val="20"/>
        </w:rPr>
      </w:pPr>
      <w:r>
        <w:rPr>
          <w:rFonts w:ascii="Times New Roman" w:hAnsi="Times New Roman"/>
          <w:sz w:val="20"/>
        </w:rPr>
        <w:t xml:space="preserve">We and the underwriters have agreed to indemnify each other against certain liabilities, including liabilities under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A prospectus supplement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holders. Internet distributions will be allocated by the representatives to underwriters that may make Internet distributions on the same basis as other allocations. </w:t>
      </w:r>
    </w:p>
    <w:p>
      <w:pPr>
        <w:pStyle w:val="TextBody"/>
        <w:bidi w:val="0"/>
        <w:spacing w:before="240" w:after="0"/>
        <w:jc w:val="both"/>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For example, certain of the underwriters also served as underwriters in our public offerings in January 2024, May 2024, June 2025 and December 2025. We also entered into the Sales Agreement with Jefferies LLC in November 2021. </w:t>
      </w:r>
    </w:p>
    <w:p>
      <w:pPr>
        <w:pStyle w:val="TextBody"/>
        <w:bidi w:val="0"/>
        <w:spacing w:before="240" w:after="0"/>
        <w:jc w:val="both"/>
        <w:rPr>
          <w:rFonts w:ascii="Times New Roman" w:hAnsi="Times New Roman"/>
          <w:sz w:val="20"/>
        </w:rPr>
      </w:pPr>
      <w:r>
        <w:rPr>
          <w:rFonts w:ascii="Times New Roman" w:hAnsi="Times New Roman"/>
          <w:sz w:val="20"/>
        </w:rPr>
        <w:t xml:space="preserve">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Notice to Prospective Investors in the European Economic Area </w:t>
      </w:r>
    </w:p>
    <w:p>
      <w:pPr>
        <w:pStyle w:val="TextBody"/>
        <w:bidi w:val="0"/>
        <w:spacing w:before="120" w:after="0"/>
        <w:jc w:val="both"/>
        <w:rPr>
          <w:rFonts w:ascii="Times New Roman" w:hAnsi="Times New Roman"/>
          <w:sz w:val="20"/>
        </w:rPr>
      </w:pPr>
      <w:r>
        <w:rPr>
          <w:rFonts w:ascii="Times New Roman" w:hAnsi="Times New Roman"/>
          <w:sz w:val="20"/>
        </w:rPr>
        <w:t xml:space="preserve">In relation to each Member State of the European Economic Area, or, each a Relevant State, no shares of common stock have been offered or will have been offered pursuant to the offering to the public in that Relevant State prior to the publication of a prospectus in relation to the shares of common stock which has been approved by the competent authority in that Relevant State or, where appropriate, approved in another Relevant State and notified to the competent authority in that Relevant State, all in accordance with the Prospectus Regulation, except that offers of common stock may be made to the public in that Relevant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0"/>
        <w:gridCol w:w="9088"/>
      </w:tblGrid>
      <w:tr>
        <w:trPr/>
        <w:tc>
          <w:tcPr>
            <w:tcW w:w="507"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(i)</w:t>
            </w:r>
          </w:p>
        </w:tc>
        <w:tc>
          <w:tcPr>
            <w:tcW w:w="90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any legal entity which is a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(ii)</w:t>
            </w:r>
          </w:p>
        </w:tc>
        <w:tc>
          <w:tcPr>
            <w:tcW w:w="908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Prospectus Regulation), subject to obtaining the prior consent of the underwriters;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(iii)</w:t>
            </w:r>
          </w:p>
        </w:tc>
        <w:tc>
          <w:tcPr>
            <w:tcW w:w="9085"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any other circumstances falling within Article 1(4) of the Prospectus Regulation, provided that no such offer of shares of common stock shall require the Company or any underwriter to publish a prospectus pursuant to Article 3 of the Prospectus Regulation, supplement a prospectus pursuant to Article 23 of the Prospectus Regulation or publish an Annex IX document pursuant to Article 1(4) of the Prospectus Regulation.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For the purposes of this provision, the expression an “offer to the public” in relation to the shares of common stock in any Relevant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 (as amended).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United Kingdom </w:t>
      </w:r>
    </w:p>
    <w:p>
      <w:pPr>
        <w:pStyle w:val="TextBody"/>
        <w:bidi w:val="0"/>
        <w:spacing w:before="120" w:after="0"/>
        <w:jc w:val="both"/>
        <w:rPr>
          <w:rFonts w:ascii="Times New Roman" w:hAnsi="Times New Roman"/>
          <w:sz w:val="20"/>
        </w:rPr>
      </w:pPr>
      <w:r>
        <w:rPr>
          <w:rFonts w:ascii="Times New Roman" w:hAnsi="Times New Roman"/>
          <w:sz w:val="20"/>
        </w:rPr>
        <w:t xml:space="preserve">No shares of common stock have been offered or will be offered pursuant to the offering to the public in the United Kingdom prior to the publication of a prospectus in relation to the common stock which has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approved by the Financial Conduct Authority, except that the common stock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where (i) the offer is conditional on the admission of the common stock to trading on the London Stock Exchange plc’s main market (in reliance on the exception in paragraph 6(a) of Schedule 1 of the POATR) or (ii) the shares of common stock being offered are at the time of the offer already admitted to trading on London Stock Exchange plc’s main market (in reliance on the exception in paragraph 6(b)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7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any qualified investor as defined in paragraph 15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fewer than 150 persons (other than qualified investors as defined in paragraph 15 of Schedule 1 of the POATR),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any other circumstances falling within Part 1 of Schedule 1 of the POATR. </w:t>
            </w:r>
          </w:p>
        </w:tc>
      </w:tr>
    </w:tbl>
    <w:p>
      <w:pPr>
        <w:pStyle w:val="TextBody"/>
        <w:bidi w:val="0"/>
        <w:spacing w:before="240" w:after="0"/>
        <w:jc w:val="both"/>
        <w:rPr>
          <w:rFonts w:ascii="Times New Roman" w:hAnsi="Times New Roman"/>
          <w:sz w:val="20"/>
        </w:rPr>
      </w:pPr>
      <w:r>
        <w:rPr>
          <w:rFonts w:ascii="Times New Roman" w:hAnsi="Times New Roman"/>
          <w:sz w:val="20"/>
        </w:rPr>
        <w:t xml:space="preserve">For the purposes of this provision, the expression an “offer to the public” in relation to the common stock in the United Kingdom means the communication to any person which presents sufficient information on: (a) the shares of common stock to be offered; and (b) the terms on which they are to be offered, to enable an investor to decide to buy or subscribe for the and the expression “POATR” means the Public Offers and Admissions to Trading Regulations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Canada </w:t>
      </w:r>
    </w:p>
    <w:p>
      <w:pPr>
        <w:pStyle w:val="TextBody"/>
        <w:bidi w:val="0"/>
        <w:spacing w:before="120" w:after="0"/>
        <w:jc w:val="both"/>
        <w:rPr>
          <w:rFonts w:ascii="Times New Roman" w:hAnsi="Times New Roman"/>
          <w:sz w:val="20"/>
        </w:rPr>
      </w:pPr>
      <w:r>
        <w:rPr>
          <w:rFonts w:ascii="Times New Roman" w:hAnsi="Times New Roman"/>
          <w:sz w:val="20"/>
        </w:rPr>
        <w:t xml:space="preserve">The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common stock must be made in accordance with an exemption from, or in a transaction not subject to, the prospectus requirements of applicable securities laws. </w:t>
      </w:r>
    </w:p>
    <w:p>
      <w:pPr>
        <w:pStyle w:val="TextBody"/>
        <w:bidi w:val="0"/>
        <w:spacing w:before="240" w:after="0"/>
        <w:jc w:val="both"/>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both"/>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Switzerland </w:t>
      </w:r>
    </w:p>
    <w:p>
      <w:pPr>
        <w:pStyle w:val="TextBody"/>
        <w:bidi w:val="0"/>
        <w:spacing w:before="120" w:after="0"/>
        <w:jc w:val="both"/>
        <w:rPr>
          <w:rFonts w:ascii="Times New Roman" w:hAnsi="Times New Roman"/>
          <w:sz w:val="20"/>
        </w:rPr>
      </w:pPr>
      <w:r>
        <w:rPr>
          <w:rFonts w:ascii="Times New Roman" w:hAnsi="Times New Roman"/>
          <w:sz w:val="20"/>
        </w:rPr>
        <w:t xml:space="preserve">The common stock may not be publicly offered in Switzerland and will not be listed on the SIX Swiss Exchange, or SIX, or on any other stock exchange or regulated trading facility in Switzerland. This prospectus supplement or the accompanying prospectus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the accompanying prospectus nor any other offering or marketing material relating to the common stock or the offering may be publicly distributed or otherwise made publicly available in Switzerland.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Neither this prospectus supplement nor the accompanying prospectus, nor any other offering or marketing material relating to the offering, us or the common stock have been or will be filed with or approved by any Swiss regulatory authority. In particular, this prospectus supplement and the accompanying prospectus will not be filed with, and the offer of common stock will not be supervised by, the Swiss Financial Market Supervisory Authority, or FINMA, and the offer of common stock has not been and will not be authorized under the Swiss Federal Act on Collective Investment Schemes, or CISA. The investor protection afforded to acquirers of interests in collective investment schemes under the CISA does not extend to acquirers of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Dubai International Financial Centre (DIFC) </w:t>
      </w:r>
    </w:p>
    <w:p>
      <w:pPr>
        <w:pStyle w:val="TextBody"/>
        <w:bidi w:val="0"/>
        <w:spacing w:before="120" w:after="0"/>
        <w:jc w:val="both"/>
        <w:rPr>
          <w:rFonts w:ascii="Times New Roman" w:hAnsi="Times New Roman"/>
          <w:sz w:val="20"/>
        </w:rPr>
      </w:pPr>
      <w:r>
        <w:rPr>
          <w:rFonts w:ascii="Times New Roman" w:hAnsi="Times New Roman"/>
          <w:sz w:val="20"/>
        </w:rPr>
        <w:t xml:space="preserve">This prospectus supplement and the accompanying prospectus relates to an Exempt Offer in accordance with the Markets Rules 2012 of the Dubai Financial Services Authority (DFSA). This prospectus supplement and the accompanying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the accompanying prospectus nor taken steps to verify the information set forth herein and has no responsibility for this prospectus supplement or the accompanying prospectus. The securities to which this prospectus supplement and the accompanying prospectus relates may be illiquid and/or subject to restrictions on their resale. Prospective purchasers of the securities offered should conduct their own due diligence on the securities. If you do not understand the contents of this prospectus supplement or the accompanying prospectus you should consult an authorized financial advisor. </w:t>
      </w:r>
    </w:p>
    <w:p>
      <w:pPr>
        <w:pStyle w:val="TextBody"/>
        <w:bidi w:val="0"/>
        <w:spacing w:before="240" w:after="0"/>
        <w:jc w:val="both"/>
        <w:rPr>
          <w:rFonts w:ascii="Times New Roman" w:hAnsi="Times New Roman"/>
          <w:sz w:val="20"/>
        </w:rPr>
      </w:pPr>
      <w:r>
        <w:rPr>
          <w:rFonts w:ascii="Times New Roman" w:hAnsi="Times New Roman"/>
          <w:sz w:val="20"/>
        </w:rPr>
        <w:t xml:space="preserve">In relation to its use in the DIFC, this prospectus supplement and the accompanying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Australia </w:t>
      </w:r>
    </w:p>
    <w:p>
      <w:pPr>
        <w:pStyle w:val="TextBody"/>
        <w:bidi w:val="0"/>
        <w:spacing w:before="120" w:after="0"/>
        <w:jc w:val="both"/>
        <w:rPr>
          <w:rFonts w:ascii="Times New Roman" w:hAnsi="Times New Roman"/>
          <w:sz w:val="20"/>
        </w:rPr>
      </w:pPr>
      <w:r>
        <w:rPr>
          <w:rFonts w:ascii="Times New Roman" w:hAnsi="Times New Roman"/>
          <w:sz w:val="20"/>
        </w:rPr>
        <w:t xml:space="preserve">This prospectus supplement or the accompanying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does not constitute a disclosure document or a prospectus under Chapter 6D.2 of the Corporations Act 2001 (Cth)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may only be provided in Australia to select investors who are able to demonstrate that they fall within one or more of the categories of investors, available under section 708 of the Corporations Act, Exempt Investors.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common stock may not be directly or indirectly offered for subscription or purchased or sold, and no invitations to subscribe for or buy the common stock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common stock, you represent and warrant to us that you are an Exempt Investor. </w:t>
      </w:r>
    </w:p>
    <w:p>
      <w:pPr>
        <w:pStyle w:val="TextBody"/>
        <w:bidi w:val="0"/>
        <w:spacing w:before="240" w:after="0"/>
        <w:jc w:val="both"/>
        <w:rPr>
          <w:rFonts w:ascii="Times New Roman" w:hAnsi="Times New Roman"/>
          <w:sz w:val="20"/>
        </w:rPr>
      </w:pPr>
      <w:r>
        <w:rPr>
          <w:rFonts w:ascii="Times New Roman" w:hAnsi="Times New Roman"/>
          <w:sz w:val="20"/>
        </w:rPr>
        <w:t xml:space="preserve">As any offer of common stock under this prospectus supplement or the accompanying prospectus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common stock you undertake to us that you will not, for a period of 12 months from the date of issue of the common stock, offer, transfer, assign or otherwise alienate those common stock to investors in Australia except in circumstances where disclosure to investors is not required under Chapter 6D.2 of the Corporations Act or where a compliant disclosure document is prepared and lodged with ASIC.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New Zealand </w:t>
      </w:r>
    </w:p>
    <w:p>
      <w:pPr>
        <w:pStyle w:val="TextBody"/>
        <w:bidi w:val="0"/>
        <w:spacing w:before="120" w:after="0"/>
        <w:jc w:val="both"/>
        <w:rPr>
          <w:rFonts w:ascii="Times New Roman" w:hAnsi="Times New Roman"/>
          <w:sz w:val="20"/>
        </w:rPr>
      </w:pPr>
      <w:r>
        <w:rPr>
          <w:rFonts w:ascii="Times New Roman" w:hAnsi="Times New Roman"/>
          <w:sz w:val="20"/>
        </w:rPr>
        <w:t xml:space="preserve">The shares of common stock offered hereby have not been offered or sold, and will not be offered or sold, directly or indirectly in New Zealand and no offering materials or advertisements have been or will be distributed in relation to any offer of shares in New Zealand, in each case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203"/>
        <w:gridCol w:w="9290"/>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(a)</w:t>
            </w:r>
          </w:p>
        </w:tc>
        <w:tc>
          <w:tcPr>
            <w:tcW w:w="203"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persons whose principal business is the investment of money or who, in the course of and for the purposes of their business, habitually invest money;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4"/>
        <w:gridCol w:w="9288"/>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(b)</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persons who in all the circumstances can properly be regarded as having been selected otherwise than as members of the public;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204"/>
        <w:gridCol w:w="9289"/>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(c)</w:t>
            </w:r>
          </w:p>
        </w:tc>
        <w:tc>
          <w:tcPr>
            <w:tcW w:w="204"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persons who are each required to pay a minimum subscription price of at least NZ$500,000 for the shares before the allotment of those shares (disregarding any amounts payable, or paid, out of money lent by the issuer or any associated person of the issuer);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4"/>
        <w:gridCol w:w="9288"/>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(d)</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other circumstances where there is no contravention of the Securities Act 1978 of New Zealand (or any statutory modification or re-enactment of, or statutory substitution for, the Securities Act 1978 of New Zealand).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Hong Kong </w:t>
      </w:r>
    </w:p>
    <w:p>
      <w:pPr>
        <w:pStyle w:val="TextBody"/>
        <w:bidi w:val="0"/>
        <w:spacing w:before="120" w:after="0"/>
        <w:jc w:val="both"/>
        <w:rPr>
          <w:rFonts w:ascii="Times New Roman" w:hAnsi="Times New Roman"/>
          <w:sz w:val="20"/>
        </w:rPr>
      </w:pPr>
      <w:r>
        <w:rPr>
          <w:rFonts w:ascii="Times New Roman" w:hAnsi="Times New Roman"/>
          <w:sz w:val="20"/>
        </w:rPr>
        <w:t xml:space="preserve">The shares of common stock have not been offered or sold and will not be offered or sold in Hong Kong, by means of any document, other than (i) to “professional investors” as defined in the Securities and Futures Ordinance (Cap. 571 of the Laws of Hong Kong), or the SFO, of Hong Kong and any rules made thereunder; or (ii) 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Japan </w:t>
      </w:r>
    </w:p>
    <w:p>
      <w:pPr>
        <w:pStyle w:val="TextBody"/>
        <w:bidi w:val="0"/>
        <w:spacing w:before="120" w:after="0"/>
        <w:jc w:val="both"/>
        <w:rPr>
          <w:rFonts w:ascii="Times New Roman" w:hAnsi="Times New Roman"/>
          <w:sz w:val="20"/>
        </w:rPr>
      </w:pPr>
      <w:r>
        <w:rPr>
          <w:rFonts w:ascii="Times New Roman" w:hAnsi="Times New Roman"/>
          <w:sz w:val="20"/>
        </w:rPr>
        <w:t xml:space="preserve">The shares of common stock have not been and will not be registered pursuant to Article 4, Paragraph 1 of the Financial Instruments and Exchange Act. Accordingly, none of the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Singapore </w:t>
      </w:r>
    </w:p>
    <w:p>
      <w:pPr>
        <w:pStyle w:val="TextBody"/>
        <w:bidi w:val="0"/>
        <w:spacing w:before="120" w:after="0"/>
        <w:jc w:val="both"/>
        <w:rPr>
          <w:rFonts w:ascii="Times New Roman" w:hAnsi="Times New Roman"/>
          <w:sz w:val="20"/>
        </w:rPr>
      </w:pPr>
      <w:r>
        <w:rPr>
          <w:rFonts w:ascii="Times New Roman" w:hAnsi="Times New Roman"/>
          <w:sz w:val="20"/>
        </w:rPr>
        <w:t xml:space="preserve">Singapore SFA Product Classification—In connection with Section 309B of the SFA and the CMP Regulations 2018, unless otherwise specified before an offer of shares of common stock, we have determined,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and hereby notify all relevant persons (as defined in Section 309A(1) of the SFA), that the shares of common stock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240" w:after="0"/>
        <w:jc w:val="both"/>
        <w:rPr>
          <w:rFonts w:ascii="Times New Roman" w:hAnsi="Times New Roman"/>
          <w:sz w:val="20"/>
        </w:rPr>
      </w:pPr>
      <w:r>
        <w:rPr>
          <w:rFonts w:ascii="Times New Roman" w:hAnsi="Times New Roman"/>
          <w:sz w:val="20"/>
        </w:rPr>
        <w:t xml:space="preserve">Each underwriter has acknowledged that this prospectus supplement or the accompanying prospectus has not been registered as a prospectus with the Monetary Authority of Singapore. Accordingly, each underwriter has represented and agreed that it has not offered or sold any shares of common stock or caused the common stock to be made the subject of an invitation for subscription or purchase and will not offer or sell any shares of common stock or cause the common stock to be made the subject of an invitation for subscription or purchase, and has not circulated or distributed, nor will it circulate or distribute, this prospectus supplement or the accompanying prospectus or any other document or material in connection with the offer or sale, or invitation for subscription or purchase, of the common stock, whether directly or indirectly, to any person in Singapore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w:t>
            </w:r>
          </w:p>
        </w:tc>
        <w:tc>
          <w:tcPr>
            <w:tcW w:w="9084"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an institutional investor (as defined in Section 4A of the Securities and Futures Act (Chapter 289) of Singapore, as modified or amended from time to time, or the SFA) pursuant to Section 274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(ii)</w:t>
            </w:r>
          </w:p>
        </w:tc>
        <w:tc>
          <w:tcPr>
            <w:tcW w:w="90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 relevant person (as defined in Section 275(2) of the SFA) pursuant to Section 275(1) of the SFA and in accordance with the conditions specified in Section 275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(iii)</w:t>
            </w:r>
          </w:p>
        </w:tc>
        <w:tc>
          <w:tcPr>
            <w:tcW w:w="9084"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otherwise pursuant to, and in accordance with the conditions of, any other applicable provision of the SFA. </w:t>
            </w:r>
          </w:p>
        </w:tc>
      </w:tr>
    </w:tbl>
    <w:p>
      <w:pPr>
        <w:pStyle w:val="TextBody"/>
        <w:bidi w:val="0"/>
        <w:spacing w:before="240" w:after="0"/>
        <w:jc w:val="both"/>
        <w:rPr>
          <w:rFonts w:ascii="Times New Roman" w:hAnsi="Times New Roman"/>
          <w:sz w:val="20"/>
        </w:rPr>
      </w:pPr>
      <w:r>
        <w:rPr>
          <w:rFonts w:ascii="Times New Roman" w:hAnsi="Times New Roman"/>
          <w:sz w:val="20"/>
        </w:rPr>
        <w:t xml:space="preserve">Where the shares of common stock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09"/>
        <w:gridCol w:w="9088"/>
      </w:tblGrid>
      <w:tr>
        <w:trPr/>
        <w:tc>
          <w:tcPr>
            <w:tcW w:w="508"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(i)</w:t>
            </w:r>
          </w:p>
        </w:tc>
        <w:tc>
          <w:tcPr>
            <w:tcW w:w="90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(ii)</w:t>
            </w:r>
          </w:p>
        </w:tc>
        <w:tc>
          <w:tcPr>
            <w:tcW w:w="9084"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408"/>
        <w:gridCol w:w="8676"/>
      </w:tblGrid>
      <w:tr>
        <w:trPr/>
        <w:tc>
          <w:tcPr>
            <w:tcW w:w="1121"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67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408"/>
        <w:gridCol w:w="8676"/>
      </w:tblGrid>
      <w:tr>
        <w:trPr/>
        <w:tc>
          <w:tcPr>
            <w:tcW w:w="1121"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67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406"/>
        <w:gridCol w:w="8677"/>
      </w:tblGrid>
      <w:tr>
        <w:trPr/>
        <w:tc>
          <w:tcPr>
            <w:tcW w:w="1122"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(c)</w:t>
            </w:r>
          </w:p>
        </w:tc>
        <w:tc>
          <w:tcPr>
            <w:tcW w:w="867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407"/>
        <w:gridCol w:w="8677"/>
      </w:tblGrid>
      <w:tr>
        <w:trPr/>
        <w:tc>
          <w:tcPr>
            <w:tcW w:w="1121"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67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408"/>
        <w:gridCol w:w="8675"/>
      </w:tblGrid>
      <w:tr>
        <w:trPr/>
        <w:tc>
          <w:tcPr>
            <w:tcW w:w="1122"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(e)</w:t>
            </w:r>
          </w:p>
        </w:tc>
        <w:tc>
          <w:tcPr>
            <w:tcW w:w="8675"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Israel </w:t>
      </w:r>
    </w:p>
    <w:p>
      <w:pPr>
        <w:pStyle w:val="TextBody"/>
        <w:bidi w:val="0"/>
        <w:spacing w:before="120" w:after="0"/>
        <w:jc w:val="both"/>
        <w:rPr>
          <w:rFonts w:ascii="Times New Roman" w:hAnsi="Times New Roman"/>
          <w:sz w:val="20"/>
        </w:rPr>
      </w:pPr>
      <w:r>
        <w:rPr>
          <w:rFonts w:ascii="Times New Roman" w:hAnsi="Times New Roman"/>
          <w:sz w:val="20"/>
        </w:rPr>
        <w:t xml:space="preserve">In the State of Israel this prospectus supplement or the accompanying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or the Addressed Investors;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(ii) the offer is made, distributed or directed to certain qualified investors defined in the First Addendum of the Israeli Securities Law, 5728—1968, subject to certain conditions, or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5728—1968. We have not and will not distribute this prospectus or the accompanying prospectus supplement or make, distribute or direct an offer to subscribe for our common stock to any person within the State of Israel, other than to Qualified Investors and up to 35 Addressed Investors. </w:t>
      </w:r>
    </w:p>
    <w:p>
      <w:pPr>
        <w:pStyle w:val="TextBody"/>
        <w:bidi w:val="0"/>
        <w:spacing w:before="240" w:after="0"/>
        <w:jc w:val="both"/>
        <w:rPr>
          <w:rFonts w:ascii="Times New Roman" w:hAnsi="Times New Roman"/>
          <w:sz w:val="20"/>
        </w:rPr>
      </w:pPr>
      <w:r>
        <w:rPr>
          <w:rFonts w:ascii="Times New Roman" w:hAnsi="Times New Roman"/>
          <w:sz w:val="20"/>
        </w:rPr>
        <w:t xml:space="preserve">Qualified Investors may have to submit written evidence that they meet the definitions set out in of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oc98164_9"/>
      <w:bookmarkEnd w:id="11"/>
      <w:r>
        <w:rPr>
          <w:rFonts w:ascii="Times New Roman" w:hAnsi="Times New Roman"/>
          <w:b/>
          <w:sz w:val="20"/>
        </w:rPr>
        <w:t xml:space="preserve">LEGAL MATTERS </w:t>
      </w:r>
    </w:p>
    <w:p>
      <w:pPr>
        <w:pStyle w:val="TextBody"/>
        <w:bidi w:val="0"/>
        <w:spacing w:before="240" w:after="0"/>
        <w:jc w:val="both"/>
        <w:rPr>
          <w:rFonts w:ascii="Times New Roman" w:hAnsi="Times New Roman"/>
          <w:sz w:val="20"/>
        </w:rPr>
      </w:pPr>
      <w:r>
        <w:rPr>
          <w:rFonts w:ascii="Times New Roman" w:hAnsi="Times New Roman"/>
          <w:sz w:val="20"/>
        </w:rPr>
        <w:t xml:space="preserve">The validity of the shares of our common stock offered hereby is being passed upon for us by Wilmer Cutler Pickering Hale and Dorr LLP, Boston, Massachusetts. Cooley LLP, New York, New York is acting as counsel for the underwriters in connection with this offering. </w:t>
      </w:r>
    </w:p>
    <w:p>
      <w:pPr>
        <w:pStyle w:val="TextBody"/>
        <w:bidi w:val="0"/>
        <w:spacing w:before="480" w:after="0"/>
        <w:jc w:val="center"/>
        <w:rPr>
          <w:rFonts w:ascii="Times New Roman" w:hAnsi="Times New Roman"/>
          <w:b/>
          <w:sz w:val="20"/>
        </w:rPr>
      </w:pPr>
      <w:bookmarkStart w:id="12" w:name="supptoc98164_10"/>
      <w:bookmarkEnd w:id="12"/>
      <w:r>
        <w:rPr>
          <w:rFonts w:ascii="Times New Roman" w:hAnsi="Times New Roman"/>
          <w:b/>
          <w:sz w:val="20"/>
        </w:rPr>
        <w:t xml:space="preserve">EXPERTS </w:t>
      </w:r>
    </w:p>
    <w:p>
      <w:pPr>
        <w:pStyle w:val="TextBody"/>
        <w:bidi w:val="0"/>
        <w:spacing w:before="240" w:after="0"/>
        <w:jc w:val="both"/>
        <w:rPr>
          <w:rFonts w:ascii="Times New Roman" w:hAnsi="Times New Roman"/>
          <w:sz w:val="20"/>
        </w:rPr>
      </w:pPr>
      <w:r>
        <w:rPr>
          <w:rFonts w:ascii="Times New Roman" w:hAnsi="Times New Roman"/>
          <w:sz w:val="20"/>
        </w:rPr>
        <w:t xml:space="preserve">The financial statements of Dyne Therapeutics, Inc. as of December 31, 2025 and 2024 and for each of the three years in the period ended December 31, 2025, incorporated by reference in this prospectus supplement, and the effectiveness of Dyne Therapeutics,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oc98164_11"/>
      <w:bookmarkEnd w:id="13"/>
      <w:r>
        <w:rPr>
          <w:rFonts w:ascii="Times New Roman" w:hAnsi="Times New Roman"/>
          <w:b/>
          <w:sz w:val="20"/>
        </w:rPr>
        <w:t xml:space="preserve">WHERE YOU CAN FIND MORE INFORMATION </w:t>
      </w:r>
    </w:p>
    <w:p>
      <w:pPr>
        <w:pStyle w:val="TextBody"/>
        <w:bidi w:val="0"/>
        <w:spacing w:before="240" w:after="0"/>
        <w:jc w:val="both"/>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https://www.dyne-tx.com/. Our website is not a part of this prospectus and information contained on, or that can be accessed through, our website is not incorporated by reference in this prospectus.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supplement and the accompanying prospectus are part of a registration statement we filed with the SEC. This prospectus supplement and the accompanying prospectus omit some information contained in the registration statement in accordance with SEC rules and regulations. You should review the information and exhibits in the registration statement for further information about us and the securities we are offering. Statements in this prospectus supplement and the accompanying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w:t>
      </w:r>
    </w:p>
    <w:p>
      <w:pPr>
        <w:pStyle w:val="TextBody"/>
        <w:bidi w:val="0"/>
        <w:spacing w:before="480" w:after="0"/>
        <w:jc w:val="center"/>
        <w:rPr>
          <w:rFonts w:ascii="Times New Roman" w:hAnsi="Times New Roman"/>
          <w:b/>
          <w:sz w:val="20"/>
        </w:rPr>
      </w:pPr>
      <w:bookmarkStart w:id="14" w:name="supptoc98164_12"/>
      <w:bookmarkEnd w:id="14"/>
      <w:r>
        <w:rPr>
          <w:rFonts w:ascii="Times New Roman" w:hAnsi="Times New Roman"/>
          <w:b/>
          <w:sz w:val="20"/>
        </w:rPr>
        <w:t xml:space="preserve">INCORPORATION OF CERTAIN INFORMATION BY REFERENCE </w:t>
      </w:r>
    </w:p>
    <w:p>
      <w:pPr>
        <w:pStyle w:val="TextBody"/>
        <w:bidi w:val="0"/>
        <w:spacing w:before="240" w:after="0"/>
        <w:jc w:val="both"/>
        <w:rPr>
          <w:rFonts w:ascii="Times New Roman" w:hAnsi="Times New Roman"/>
          <w:sz w:val="20"/>
        </w:rPr>
      </w:pPr>
      <w:r>
        <w:rPr>
          <w:rFonts w:ascii="Times New Roman" w:hAnsi="Times New Roman"/>
          <w:sz w:val="20"/>
        </w:rPr>
        <w:t xml:space="preserve">The SEC allows us to incorporate by reference in this prospectus supplement and the accompanying prospectus much of the information we file with the SEC, which means that we can disclose important information to you by referring you to those publicly available documents. The information that we incorporate by reference in this prospectus supplement and the accompanying prospectus is considered to be part of this prospectus supplement and the accompanying prospectus. Because we are incorporating by reference future filings with the SEC, this prospectus supplement and the accompanying prospectus is continually updated and those future filings may modify or supersede some of the information included or incorporated in this prospectus supplement and the accompanying prospectus. This means that you must look at all of the SEC filings that we incorporate by reference to determine if any of the statements in this prospectus supplement, the accompanying prospectus or in any document previously incorporated by reference have been modified or superseded. This prospectus supplement and the accompanying prospectus incorporate by reference the documents listed below (File No. 001-39509) and any future filings we make with the SEC under Sections 13(a), 13(c), 14 or 15(d) of the Exchange Act (in each case, other than those documents or the portions of those documents not deemed to be filed) until the offering of the securities offered hereby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rFonts w:ascii="Times New Roman" w:hAnsi="Times New Roman"/>
                <w:sz w:val="20"/>
              </w:rPr>
              <w:t xml:space="preserve">Annual Report on Form 10-K for the fiscal year ended December 31, 2025, as filed with the SEC on </w:t>
            </w:r>
            <w:hyperlink r:id="rId3">
              <w:r>
                <w:rPr>
                  <w:rStyle w:val="InternetLink"/>
                  <w:rFonts w:ascii="Times New Roman" w:hAnsi="Times New Roman"/>
                  <w:sz w:val="20"/>
                </w:rPr>
                <w:t>March 2, 2026</w:t>
              </w:r>
            </w:hyperlink>
            <w:r>
              <w:rPr>
                <w:rFonts w:ascii="Times New Roman" w:hAnsi="Times New Roman"/>
                <w:sz w:val="20"/>
              </w:rPr>
              <w:t xml:space="preserve">, including the information specifically incorporated by reference into the Annual Report on Form 10-K from our definitive proxy statement for the 2026 Annual Meeting of Stockholders, as filed with the SEC on </w:t>
            </w:r>
            <w:hyperlink r:id="rId4">
              <w:r>
                <w:rPr>
                  <w:rStyle w:val="InternetLink"/>
                  <w:rFonts w:ascii="Times New Roman" w:hAnsi="Times New Roman"/>
                  <w:sz w:val="20"/>
                </w:rPr>
                <w:t>April 23,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pPr>
            <w:r>
              <w:rPr>
                <w:rFonts w:ascii="Times New Roman" w:hAnsi="Times New Roman"/>
                <w:sz w:val="20"/>
              </w:rPr>
              <w:t xml:space="preserve">Quarterly Report on Form 10-Q for the quarterly period ended March 31, 2026, as filed with the SEC on </w:t>
            </w:r>
            <w:hyperlink r:id="rId5">
              <w:r>
                <w:rPr>
                  <w:rStyle w:val="InternetLink"/>
                  <w:rFonts w:ascii="Times New Roman" w:hAnsi="Times New Roman"/>
                  <w:sz w:val="20"/>
                </w:rPr>
                <w:t>May 11,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pPr>
            <w:r>
              <w:rPr>
                <w:rFonts w:ascii="Times New Roman" w:hAnsi="Times New Roman"/>
                <w:sz w:val="20"/>
              </w:rPr>
              <w:t xml:space="preserve">Current Reports on Form 8-K as filed with the SEC on </w:t>
            </w:r>
            <w:hyperlink r:id="rId6">
              <w:r>
                <w:rPr>
                  <w:rStyle w:val="InternetLink"/>
                  <w:rFonts w:ascii="Times New Roman" w:hAnsi="Times New Roman"/>
                  <w:sz w:val="20"/>
                </w:rPr>
                <w:t>June 3, 2026</w:t>
              </w:r>
            </w:hyperlink>
            <w:r>
              <w:rPr>
                <w:rFonts w:ascii="Times New Roman" w:hAnsi="Times New Roman"/>
                <w:sz w:val="20"/>
              </w:rPr>
              <w:t xml:space="preserve"> (Item 8.01 only), </w:t>
            </w:r>
            <w:hyperlink r:id="rId7">
              <w:r>
                <w:rPr>
                  <w:rStyle w:val="InternetLink"/>
                  <w:rFonts w:ascii="Times New Roman" w:hAnsi="Times New Roman"/>
                  <w:sz w:val="20"/>
                </w:rPr>
                <w:t>June  8, 2026</w:t>
              </w:r>
            </w:hyperlink>
            <w:r>
              <w:rPr>
                <w:rFonts w:ascii="Times New Roman" w:hAnsi="Times New Roman"/>
                <w:sz w:val="20"/>
              </w:rPr>
              <w:t xml:space="preserve">, </w:t>
            </w:r>
            <w:hyperlink r:id="rId8">
              <w:r>
                <w:rPr>
                  <w:rStyle w:val="InternetLink"/>
                  <w:rFonts w:ascii="Times New Roman" w:hAnsi="Times New Roman"/>
                  <w:sz w:val="20"/>
                </w:rPr>
                <w:t>June  17, 2026</w:t>
              </w:r>
            </w:hyperlink>
            <w:r>
              <w:rPr>
                <w:rFonts w:ascii="Times New Roman" w:hAnsi="Times New Roman"/>
                <w:sz w:val="20"/>
              </w:rPr>
              <w:t xml:space="preserve">, </w:t>
            </w:r>
            <w:hyperlink r:id="rId9">
              <w:r>
                <w:rPr>
                  <w:rStyle w:val="InternetLink"/>
                  <w:rFonts w:ascii="Times New Roman" w:hAnsi="Times New Roman"/>
                  <w:sz w:val="20"/>
                </w:rPr>
                <w:t>June  22, 2026</w:t>
              </w:r>
            </w:hyperlink>
            <w:r>
              <w:rPr>
                <w:rFonts w:ascii="Times New Roman" w:hAnsi="Times New Roman"/>
                <w:sz w:val="20"/>
              </w:rPr>
              <w:t xml:space="preserve"> and </w:t>
            </w:r>
            <w:hyperlink r:id="rId10">
              <w:r>
                <w:rPr>
                  <w:rStyle w:val="InternetLink"/>
                  <w:rFonts w:ascii="Times New Roman" w:hAnsi="Times New Roman"/>
                  <w:sz w:val="20"/>
                </w:rPr>
                <w:t>July 20,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pPr>
            <w:r>
              <w:rPr>
                <w:rFonts w:ascii="Times New Roman" w:hAnsi="Times New Roman"/>
                <w:sz w:val="20"/>
              </w:rPr>
              <w:t xml:space="preserve">The description of our common stock contained in our Registration Statement on Form 8-A as filed with the SEC on </w:t>
            </w:r>
            <w:hyperlink r:id="rId11">
              <w:r>
                <w:rPr>
                  <w:rStyle w:val="InternetLink"/>
                  <w:rFonts w:ascii="Times New Roman" w:hAnsi="Times New Roman"/>
                  <w:sz w:val="20"/>
                </w:rPr>
                <w:t>September 11, 2020</w:t>
              </w:r>
            </w:hyperlink>
            <w:r>
              <w:rPr>
                <w:rFonts w:ascii="Times New Roman" w:hAnsi="Times New Roman"/>
                <w:sz w:val="20"/>
              </w:rPr>
              <w:t xml:space="preserve">, as the description therein has been updated and superseded by the description of our capital stock contained in </w:t>
            </w:r>
            <w:hyperlink r:id="rId12">
              <w:r>
                <w:rPr>
                  <w:rStyle w:val="InternetLink"/>
                  <w:rFonts w:ascii="Times New Roman" w:hAnsi="Times New Roman"/>
                  <w:sz w:val="20"/>
                </w:rPr>
                <w:t>Exhibit 4.3</w:t>
              </w:r>
            </w:hyperlink>
            <w:r>
              <w:rPr>
                <w:rFonts w:ascii="Times New Roman" w:hAnsi="Times New Roman"/>
                <w:sz w:val="20"/>
              </w:rPr>
              <w:t xml:space="preserve"> to our Annual Report on Form 10-K for the fiscal year ended December 31, 2020, as filed with the SEC on </w:t>
            </w:r>
            <w:hyperlink r:id="rId13">
              <w:r>
                <w:rPr>
                  <w:rStyle w:val="InternetLink"/>
                  <w:rFonts w:ascii="Times New Roman" w:hAnsi="Times New Roman"/>
                  <w:sz w:val="20"/>
                </w:rPr>
                <w:t>March 4, 2021</w:t>
              </w:r>
            </w:hyperlink>
            <w:r>
              <w:rPr>
                <w:rFonts w:ascii="Times New Roman" w:hAnsi="Times New Roman"/>
                <w:sz w:val="20"/>
              </w:rPr>
              <w:t xml:space="preserve">, and including any amendments and reports filed for the purpose of updating such description.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You may request a copy of these documents at no cost, by writing or calling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Dyne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1560 Trapelo Road </w:t>
      </w:r>
    </w:p>
    <w:p>
      <w:pPr>
        <w:pStyle w:val="TextBody"/>
        <w:bidi w:val="0"/>
        <w:spacing w:before="0" w:after="0"/>
        <w:jc w:val="center"/>
        <w:rPr>
          <w:rFonts w:ascii="Times New Roman" w:hAnsi="Times New Roman"/>
          <w:sz w:val="20"/>
        </w:rPr>
      </w:pPr>
      <w:r>
        <w:rPr>
          <w:rFonts w:ascii="Times New Roman" w:hAnsi="Times New Roman"/>
          <w:sz w:val="20"/>
        </w:rPr>
        <w:t xml:space="preserve">Waltham, Massachusetts 02451 </w:t>
      </w:r>
    </w:p>
    <w:p>
      <w:pPr>
        <w:pStyle w:val="TextBody"/>
        <w:bidi w:val="0"/>
        <w:spacing w:before="0" w:after="0"/>
        <w:jc w:val="center"/>
        <w:rPr>
          <w:rFonts w:ascii="Times New Roman" w:hAnsi="Times New Roman"/>
          <w:sz w:val="20"/>
        </w:rPr>
      </w:pPr>
      <w:r>
        <w:rPr>
          <w:rFonts w:ascii="Times New Roman" w:hAnsi="Times New Roman"/>
          <w:sz w:val="20"/>
        </w:rPr>
        <w:t xml:space="preserve">(781) 786-8230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2037715" cy="63246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14"/>
                    <a:stretch>
                      <a:fillRect/>
                    </a:stretch>
                  </pic:blipFill>
                  <pic:spPr bwMode="auto">
                    <a:xfrm>
                      <a:off x="0" y="0"/>
                      <a:ext cx="2037715" cy="63246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securities from time to time in one or more offerings.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“DYN.”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these securities involves significant risks. See “</w:t>
      </w:r>
      <w:hyperlink w:anchor="toca98164_5">
        <w:r>
          <w:rPr>
            <w:rStyle w:val="InternetLink"/>
            <w:rFonts w:ascii="Times New Roman" w:hAnsi="Times New Roman"/>
            <w:b/>
            <w:sz w:val="24"/>
          </w:rPr>
          <w:t>Risk Factors</w:t>
        </w:r>
      </w:hyperlink>
      <w:r>
        <w:rPr>
          <w:rFonts w:ascii="Times New Roman" w:hAnsi="Times New Roman"/>
          <w:b/>
          <w:sz w:val="24"/>
        </w:rPr>
        <w:t xml:space="preserve">” included on page 5 of this prospectus, in any accompanying prospectus supplement and in the documents incorporated by reference in this prospectus for a discussion of the factors you should carefully consider before deciding to purchase these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March 5,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oca98164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a98164_2">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a98164_3">
              <w:r>
                <w:rPr>
                  <w:rStyle w:val="InternetLink"/>
                  <w:rFonts w:ascii="Times New Roman" w:hAnsi="Times New Roman"/>
                  <w:sz w:val="20"/>
                </w:rPr>
                <w:t>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a98164_4">
              <w:r>
                <w:rPr>
                  <w:rStyle w:val="InternetLink"/>
                  <w:rFonts w:ascii="Times New Roman" w:hAnsi="Times New Roman"/>
                  <w:sz w:val="20"/>
                </w:rPr>
                <w:t>CAUTIONARY NOTE REGARDING FORWARD-LOOKING STATEMENTS AND INDUSTRY DATA</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a98164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a98164_6">
              <w:r>
                <w:rPr>
                  <w:rStyle w:val="InternetLink"/>
                  <w:rFonts w:ascii="Times New Roman" w:hAnsi="Times New Roman"/>
                  <w:sz w:val="20"/>
                </w:rPr>
                <w:t>ABOUT DYNE THERAPEUTICS, INC.</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a98164_7">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a98164_8">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a98164_9">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a98164_10">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a98164_11">
              <w:r>
                <w:rPr>
                  <w:rStyle w:val="InternetLink"/>
                  <w:rFonts w:ascii="Times New Roman" w:hAnsi="Times New Roman"/>
                  <w:sz w:val="20"/>
                </w:rPr>
                <w:t>DESCRIPTION OF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a98164_12">
              <w:r>
                <w:rPr>
                  <w:rStyle w:val="InternetLink"/>
                  <w:rFonts w:ascii="Times New Roman" w:hAnsi="Times New Roman"/>
                  <w:sz w:val="20"/>
                </w:rPr>
                <w:t>FORMS OF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a98164_13">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a98164_14">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a98164_15">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a98164_1"/>
      <w:bookmarkEnd w:id="15"/>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that we filed with the Securities and Exchange Commission, or the SEC, as a “well-known seasoned issuer” as defined in Rule 405 under the Securities Act of 1933, as amended, or the Securities Act. Under this shelf registration statement, we may from time to time sell any combination of the securities described in this prospectus in one or more offerings.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or incorporated by reference in this prospectus, any accompanying prospectus supplement or any related free writing prospectus filed by us with the SEC. We have not authorized anyone to provide you with different information.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indicates, references in this prospectus to the “Company,” “we,” “our” and “us” refer, collectively, to Dyne Therapeutics, Inc., a Delaware corporation, and its consolidated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a98164_2"/>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www.dyne-tx.com. Our website is not a part of this prospectus and the information contained on, or accessible through, our website is not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w:t>
      </w:r>
    </w:p>
    <w:p>
      <w:pPr>
        <w:pStyle w:val="TextBody"/>
        <w:bidi w:val="0"/>
        <w:spacing w:before="480" w:after="0"/>
        <w:jc w:val="center"/>
        <w:rPr>
          <w:rFonts w:ascii="Times New Roman" w:hAnsi="Times New Roman"/>
          <w:b/>
          <w:sz w:val="20"/>
        </w:rPr>
      </w:pPr>
      <w:bookmarkStart w:id="17" w:name="toca98164_3"/>
      <w:bookmarkEnd w:id="17"/>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001-39509)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Form 10-K for the fiscal year ended December 31, 2023, as filed with the SEC on </w:t>
            </w:r>
            <w:hyperlink r:id="rId15">
              <w:r>
                <w:rPr>
                  <w:rStyle w:val="InternetLink"/>
                  <w:rFonts w:ascii="Times New Roman" w:hAnsi="Times New Roman"/>
                  <w:sz w:val="20"/>
                </w:rPr>
                <w:t>March 5,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information included in our definitive proxy statement on Schedule 14A for the 2023 Annual Meeting of Stockholders, as filed with the SEC on </w:t>
            </w:r>
            <w:hyperlink r:id="rId16">
              <w:r>
                <w:rPr>
                  <w:rStyle w:val="InternetLink"/>
                  <w:rFonts w:ascii="Times New Roman" w:hAnsi="Times New Roman"/>
                  <w:sz w:val="20"/>
                </w:rPr>
                <w:t>April 7, 2023</w:t>
              </w:r>
            </w:hyperlink>
            <w:r>
              <w:rPr>
                <w:rFonts w:ascii="Times New Roman" w:hAnsi="Times New Roman"/>
                <w:sz w:val="20"/>
              </w:rPr>
              <w:t xml:space="preserve">, to the extent incorporated by reference into Part III of our Annual Report on Form 10-K for the fiscal year ended December 31,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Current Reports on Form 8-K, as filed with the SEC on </w:t>
            </w:r>
            <w:hyperlink r:id="rId17">
              <w:r>
                <w:rPr>
                  <w:rStyle w:val="InternetLink"/>
                  <w:rFonts w:ascii="Times New Roman" w:hAnsi="Times New Roman"/>
                  <w:sz w:val="20"/>
                </w:rPr>
                <w:t>January  3, 2024 (Item 8.01 only)</w:t>
              </w:r>
            </w:hyperlink>
            <w:r>
              <w:rPr>
                <w:rFonts w:ascii="Times New Roman" w:hAnsi="Times New Roman"/>
                <w:sz w:val="20"/>
              </w:rPr>
              <w:t xml:space="preserve">, </w:t>
            </w:r>
            <w:hyperlink r:id="rId18">
              <w:r>
                <w:rPr>
                  <w:rStyle w:val="InternetLink"/>
                  <w:rFonts w:ascii="Times New Roman" w:hAnsi="Times New Roman"/>
                  <w:sz w:val="20"/>
                </w:rPr>
                <w:t>January  4, 2024</w:t>
              </w:r>
            </w:hyperlink>
            <w:r>
              <w:rPr>
                <w:rFonts w:ascii="Times New Roman" w:hAnsi="Times New Roman"/>
                <w:sz w:val="20"/>
              </w:rPr>
              <w:t xml:space="preserve"> and </w:t>
            </w:r>
            <w:hyperlink r:id="rId19">
              <w:r>
                <w:rPr>
                  <w:rStyle w:val="InternetLink"/>
                  <w:rFonts w:ascii="Times New Roman" w:hAnsi="Times New Roman"/>
                  <w:sz w:val="20"/>
                </w:rPr>
                <w:t>January 5, 2024</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Form 8-A as filed with the SEC on </w:t>
            </w:r>
            <w:hyperlink r:id="rId20">
              <w:r>
                <w:rPr>
                  <w:rStyle w:val="InternetLink"/>
                  <w:rFonts w:ascii="Times New Roman" w:hAnsi="Times New Roman"/>
                  <w:sz w:val="20"/>
                </w:rPr>
                <w:t>September 11, 2020</w:t>
              </w:r>
            </w:hyperlink>
            <w:r>
              <w:rPr>
                <w:rFonts w:ascii="Times New Roman" w:hAnsi="Times New Roman"/>
                <w:sz w:val="20"/>
              </w:rPr>
              <w:t xml:space="preserve">, as the description therein has been updated and superseded by the description of our capital stock contained in </w:t>
            </w:r>
            <w:hyperlink r:id="rId21">
              <w:r>
                <w:rPr>
                  <w:rStyle w:val="InternetLink"/>
                  <w:rFonts w:ascii="Times New Roman" w:hAnsi="Times New Roman"/>
                  <w:sz w:val="20"/>
                </w:rPr>
                <w:t>Exhibit 4.3</w:t>
              </w:r>
            </w:hyperlink>
            <w:r>
              <w:rPr>
                <w:rFonts w:ascii="Times New Roman" w:hAnsi="Times New Roman"/>
                <w:sz w:val="20"/>
              </w:rPr>
              <w:t xml:space="preserve"> to our Annual Report on Form 10-K for the fiscal year ended December 31, 2020, as filed with the SEC on </w:t>
            </w:r>
            <w:hyperlink r:id="rId22">
              <w:r>
                <w:rPr>
                  <w:rStyle w:val="InternetLink"/>
                  <w:rFonts w:ascii="Times New Roman" w:hAnsi="Times New Roman"/>
                  <w:sz w:val="20"/>
                </w:rPr>
                <w:t>March 4, 2021</w:t>
              </w:r>
            </w:hyperlink>
            <w:r>
              <w:rPr>
                <w:rFonts w:ascii="Times New Roman" w:hAnsi="Times New Roman"/>
                <w:sz w:val="20"/>
              </w:rPr>
              <w:t xml:space="preserve">, and including any amendments and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Dyne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1560 Trapelo Road </w:t>
      </w:r>
    </w:p>
    <w:p>
      <w:pPr>
        <w:pStyle w:val="TextBody"/>
        <w:bidi w:val="0"/>
        <w:spacing w:before="0" w:after="0"/>
        <w:jc w:val="center"/>
        <w:rPr>
          <w:rFonts w:ascii="Times New Roman" w:hAnsi="Times New Roman"/>
          <w:sz w:val="20"/>
        </w:rPr>
      </w:pPr>
      <w:r>
        <w:rPr>
          <w:rFonts w:ascii="Times New Roman" w:hAnsi="Times New Roman"/>
          <w:sz w:val="20"/>
        </w:rPr>
        <w:t xml:space="preserve">Waltham, Massachusetts 02451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(781) 786-8230</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a98164_4"/>
      <w:bookmarkEnd w:id="18"/>
      <w:r>
        <w:rPr>
          <w:rFonts w:ascii="Times New Roman" w:hAnsi="Times New Roman"/>
          <w:b/>
          <w:sz w:val="20"/>
        </w:rPr>
        <w:t xml:space="preserve">CAUTIONARY NOTE REGARDING FORWARD-LOOKING STATEMENTS AND INDUSTRY DATA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information incorporated by reference in this prospectus contain forward-looking statements within the meaning of Section 27A of the Securities Act of 1933, as amended, and Section 21E of the Securities Exchange Act of 1934, as amended. All statements, other than statements of historical fact, contained in this prospectus or incorporated by reference herein, including statements regarding our strategy, future operations, future financial position, future revenue, projected costs, prospects, plans and objectives of management, are forward-looking statements. The words “anticipate,” “believe,” “continue” “could,” “estimate,” “expect,” “intend,” “may,” “might,” “plan,” “potential,” “predict,” “project,” “should,” “target,” “would,” or the negative of these words or other similar expressions are intended to identify forward-looking statements, although not all forward-looking statements contain these identifying words.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in this prospectus and incorporated by reference herein include, among other things,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progress and results of our research and development programs,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timing of the submission and clearance of investigational new drug applications, or INDs, and comparable foreign applications for any product candidates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expenses, future revenue, capital requirements, need for additional financing and the period over which we believe our cash, cash equivalents and marketable securities, will be sufficient to fund our operating expenses and capital expenditure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to develop and, if approved, subsequently commercialize any product candidates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and our ability to submit applications for, obtain and maintain regulatory approvals for any product candidates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advantages of our FORCE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commercialization, marketing and manufacturing capabilities and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intellectual property position and our expectations regarding our ability to obtain and maintain intellectual property protection;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additional products, product candidates or technologies with significant commercial potential that are consistent with our commercial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government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position and expectations regarding developments and projections relating to our competitors and any competing therapies that are or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and maintain collaborations or obtain additional funding;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time during which we will be an emerging growth company under the Jumpstart Our Business Startups Act, or the JOBS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not actually achieve the plans, intentions or expectations disclosed in our forward-looking statements, and stockholders should not place undue reliance on our forward-looking statements. Actual results or events could differ materially from the plans, intentions and expectations disclosed in the forward-looking statements we make.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Moreover, we operate in a competitive and rapidly changing environment. New risk factors and uncertainties may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may make. Our forward-looking statements do not reflect the potential impact of any future acquisitions, mergers, dispositions, collaborations, joint ventures or investments we may make or enter into. You are cautioned that these forward-looking statements are only predictions and are subject to risks, uncertainties and assumptions that are referenced in the section of any accompanying prospectus supplement entitled “Risk Factors.” You should also carefully review the risk factors and cautionary statements described in the other documents we file from time to time with the SEC, specifically our most recent Annual Report on Form 10-K, our Quarterly Reports on Form 10-Q and our Current Reports on Form 8-K.</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and the information incorporated by reference herein completely and with the understanding that our actual future results may be materially different from what we expect. The forward-looking statements contained in this prospectus and incorporated by reference herein are made as of the date when made. We do not assume any obligation to update any forward-looking statements, whether as a result of new information, future events or otherwise, except as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when made, and while we believe such information forms a reasonable basis for such statements, such information may be limited or incomplete.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information incorporated by reference herein include statistical and other industry and market data that we obtained from industry publications and research, surveys and studies conducted by third parties. All of the market data used in this prospectus and the information incorporated by reference herein involves a number of assumptions and limitations, and you are cautioned not to give undue weight to such data. We believe that the information from these industry publications, surveys and studies is reliable.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a98164_5"/>
      <w:bookmarkEnd w:id="19"/>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significant risks. You should carefully consider the risks and uncertainties described in this prospectus and any accompanying prospectus supplement, including the risk factors set forth in our filings with the SEC that are incorporated by reference herein, before making an investment decision pursuant to this prospectus and any accompanying prospectus supplement relating to a specific offering. </w:t>
      </w:r>
    </w:p>
    <w:p>
      <w:pPr>
        <w:pStyle w:val="TextBody"/>
        <w:bidi w:val="0"/>
        <w:spacing w:before="240" w:after="0"/>
        <w:jc w:val="left"/>
        <w:rPr>
          <w:rFonts w:ascii="Times New Roman" w:hAnsi="Times New Roman"/>
          <w:sz w:val="20"/>
        </w:rPr>
      </w:pPr>
      <w:r>
        <w:rPr>
          <w:rFonts w:ascii="Times New Roman" w:hAnsi="Times New Roman"/>
          <w:sz w:val="20"/>
        </w:rPr>
        <w:t xml:space="preserve">Our business, financial condition and results of operations could be materially and adversely affected by any or all of these risks or by additional risks and uncertainties not presently known to us or that we currently deem immaterial that may adversely affect us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a98164_6"/>
      <w:bookmarkEnd w:id="20"/>
      <w:r>
        <w:rPr>
          <w:rFonts w:ascii="Times New Roman" w:hAnsi="Times New Roman"/>
          <w:b/>
          <w:sz w:val="20"/>
        </w:rPr>
        <w:t xml:space="preserve">ABOUT DYNE THERAPEUTICS, INC. </w:t>
      </w:r>
    </w:p>
    <w:p>
      <w:pPr>
        <w:pStyle w:val="TextBody"/>
        <w:bidi w:val="0"/>
        <w:spacing w:before="240" w:after="0"/>
        <w:jc w:val="left"/>
        <w:rPr>
          <w:rFonts w:ascii="Times New Roman" w:hAnsi="Times New Roman"/>
          <w:sz w:val="20"/>
        </w:rPr>
      </w:pPr>
      <w:r>
        <w:rPr>
          <w:rFonts w:ascii="Times New Roman" w:hAnsi="Times New Roman"/>
          <w:sz w:val="20"/>
        </w:rPr>
        <w:t xml:space="preserve">We are a clinical-stage muscle disease company focused on advancing innovative life-transforming therapeutics for people living with genetically driven diseases. We are utilizing our proprietary FORCE platform to overcome the current limitations of muscle tissue delivery and advance modern oligonucleotide therapeutics for muscle diseases. Our proprietary FORCE platform therapeutics consist of an oligonucleotide payload that we rationally design to target the genetic basis of the disease we are seeking to treat, a clinically validated linker and an antigen-binding fragment, or Fab, that we attach to the payload using the linker. With our FORCE platform, we have the flexibility to deploy different types of oligonucleotide payloads with specific mechanisms of action that modify target functions. We leverage this modularity to focus on muscle diseases with high unmet need, with etiologic targets and with clear translational potential from preclinical disease models to well-defined clinical development and regulatory pathways. </w:t>
      </w:r>
    </w:p>
    <w:p>
      <w:pPr>
        <w:pStyle w:val="TextBody"/>
        <w:bidi w:val="0"/>
        <w:spacing w:before="240" w:after="0"/>
        <w:jc w:val="left"/>
        <w:rPr>
          <w:rFonts w:ascii="Times New Roman" w:hAnsi="Times New Roman"/>
          <w:sz w:val="20"/>
        </w:rPr>
      </w:pPr>
      <w:r>
        <w:rPr>
          <w:rFonts w:ascii="Times New Roman" w:hAnsi="Times New Roman"/>
          <w:sz w:val="20"/>
        </w:rPr>
        <w:t xml:space="preserve">Using our FORCE platform, we are assembling a broad portfolio of muscle disease therapeutics, including our programs in myotonic dystrophy type 1, or DM1, Duchenne muscular dystrophy, or DMD, and facioscapulohumeral dystrophy, or FSHD. In addition, we plan to expand our portfolio through development efforts focused on rare skeletal muscle diseases, as well as cardiac and metabolic muscle diseases, including some with larger patient populations, and diseases involving the central nervous system. We have identified product candidates for each of our DM1, DMD and FSHD programs that are in varying stages of preclinical and clinical development. </w:t>
      </w:r>
    </w:p>
    <w:p>
      <w:pPr>
        <w:pStyle w:val="TextBody"/>
        <w:bidi w:val="0"/>
        <w:spacing w:before="240" w:after="0"/>
        <w:jc w:val="left"/>
        <w:rPr>
          <w:rFonts w:ascii="Times New Roman" w:hAnsi="Times New Roman"/>
          <w:sz w:val="20"/>
        </w:rPr>
      </w:pPr>
      <w:r>
        <w:rPr>
          <w:rFonts w:ascii="Times New Roman" w:hAnsi="Times New Roman"/>
          <w:sz w:val="20"/>
        </w:rPr>
        <w:t>Our principal executive offices are located at 1560 Trapelo Road, Waltham, MA 02451, and our telephone number is (781) 786-8230.</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a98164_7"/>
      <w:bookmarkEnd w:id="21"/>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any securities offered under this prospectus for general corporate purposes unless otherwise indicated in the applicable prospectus supplement. General corporate purposes may include the acquisition of companies or businesses, repayment and refinancing of debt, working capital and capital expenditures. We have not determined the amount of net proceeds to be used specifically for such purposes. As a result, management will retain broad discretion over the allocation of the net proceeds of any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a98164_8"/>
      <w:bookmarkEnd w:id="22"/>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summarizes the general terms and provisions of the debt securities that Dyne Therapeutics, Inc. may offer and sell from time to time. We will describe in a prospectus supplement the specific terms of the debt securities offered through that prospectus supplement, as well as any general terms and provisions described in this section that will not apply to those debt securities. As used in this “Description of Debt Securities”, the term “debt securities” means the senior and subordinated debt securities that we issue and the trustee authenticates and delivers under the applicable indenture. When we refer to “the Company,” “we,” “our,” and “us” in this section, we mean Dyne Therapeutics, Inc. excluding, unless the context otherwise requires or as otherwise expressly stated,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The senior indenture and the subordinated indenture are referred to individually as an indenture and together as the indentures and the senior trustee and the subordinated trustee are referred to individually as a trustee and together as the trustees. This section summarizes some of the provisions of the indentures and is qualified in its entirety by the specific text of the indentures, including definitions of terms used in the indentures. Wherever we refer to particular sections of, or defined terms in,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Neither indenture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senior debt securities will constitute our unsecured and unsubordinated general obligations and will rank equally in right of payment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“—Certain Terms of the Subordinated Debt Securities—Subordination.” The debt securities will be structurally subordinated to all existing and future indebtedness and other liabilities of our subsidiaries unless such subsidiaries expressly guarantee such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our unsecured obligations. Any secured debt or other secured obligations will be effectively senior to the debt securities to the extent of the value of the assets securing such debt or other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and/or free writing prospectus will include any additional or different terms of the debt securities of any series being offered, including the following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type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senior or subordinated debt securities, and, with respect to any subordinated debt securities the terms on which they are subordinated;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aggregate principal amount of the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we will sell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or dates of the debt securities and the right, if any, to extend such date or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if any, at which the debt securities will bear interest, or the method of determining such rate or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such interest will accrue, the interest payment dates on which such interest will be payable or the method of determination of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to extend the interest payment periods and the duration of that extension;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of paying principal and interest and the place or places where principal and interest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of the debt securities if other than $1,000 or multiples of $1,000;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for a sinking fund, purchase fund or other analogous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dates, prices, obligations and restrictions on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currencies or currency units in which the debt securities will be denominated and the currency, currencies or currency units in which principal and interest, if any, on the debt securities may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conversion or exchange features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subject to the defeasance provisions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definitive or global form or in definitive form only upon satisfaction of certain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guaranteed as to payment or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special tax implications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events of default or covenants in addition to or in lieu of those set forth in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terms of the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 we refer to “principal” in this section with reference to the debt securities, we are also referring to “premium, if any.”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which are treated as having been issued at a discount for U.S. federal income tax purposes will be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Certain Terms of the Senior Debt Securities </w:t>
      </w:r>
    </w:p>
    <w:p>
      <w:pPr>
        <w:pStyle w:val="TextBody"/>
        <w:bidi w:val="0"/>
        <w:spacing w:before="120" w:after="0"/>
        <w:jc w:val="left"/>
        <w:rPr>
          <w:rFonts w:ascii="Times New Roman" w:hAnsi="Times New Roman"/>
          <w:sz w:val="20"/>
        </w:rPr>
      </w:pPr>
      <w:r>
        <w:rPr>
          <w:rFonts w:ascii="Times New Roman" w:hAnsi="Times New Roman"/>
          <w:i/>
          <w:sz w:val="20"/>
        </w:rPr>
        <w:t xml:space="preserve">Covenants. </w:t>
      </w:r>
      <w:r>
        <w:rPr>
          <w:rFonts w:ascii="Times New Roman" w:hAnsi="Times New Roman"/>
          <w:sz w:val="20"/>
        </w:rPr>
        <w:t xml:space="preserve">Unless we indicate otherwise in a prospectus supplement with respect to a particular series of senior debt securities, the senior debt securities will not contain any financial or restrictive covenants, including covenants restricting either us or any of our subsidiaries from incurring, issuing, assuming or guaranteeing any indebtedness secured by a lien on any of our or our subsidiaries’ property or capital stock, or restricting either us or any of our subsidiaries from entering into sale and leaseback transactions. </w:t>
      </w:r>
    </w:p>
    <w:p>
      <w:pPr>
        <w:pStyle w:val="TextBody"/>
        <w:bidi w:val="0"/>
        <w:spacing w:before="240" w:after="0"/>
        <w:jc w:val="left"/>
        <w:rPr>
          <w:rFonts w:ascii="Times New Roman" w:hAnsi="Times New Roman"/>
          <w:sz w:val="20"/>
        </w:rPr>
      </w:pPr>
      <w:r>
        <w:rPr>
          <w:rFonts w:ascii="Times New Roman" w:hAnsi="Times New Roman"/>
          <w:i/>
          <w:sz w:val="20"/>
        </w:rPr>
        <w:t xml:space="preserve">Consolidation, Merger and Sale of Assets. </w:t>
      </w:r>
      <w:r>
        <w:rPr>
          <w:rFonts w:ascii="Times New Roman" w:hAnsi="Times New Roman"/>
          <w:sz w:val="20"/>
        </w:rPr>
        <w:t xml:space="preserve">Unless we indicate otherwise in a prospectus supplement with respect to a particular series of senior debt securities, we may not consolidate with or merge into any other person, in a transaction in which we are not the surviving corporation, or convey, transfer or lease our properties and assets substantially as an entirety to any person, in either case,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successor entity, if any, is a U.S. corporation, limited liability company, partnership or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successor entity assumes our obligations on the senior debt securities and under the senior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shall have occurred and be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senior trustee an officer’s certificate and an opinion of counsel, each stating that the consolidation, merger, conveyance, transfer or lease and, if a supplemental indenture is required in connection with such transaction, such supplemental indenture, comply with the senior indenture and all conditions precedent provided for in the senior indenture relating to such transaction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bullets above do not apply (1) to our consolidation with or merging into one of our affiliates, if our board of directors determines in good faith that the purpose of the consolidation or merger is principally to change our state of incorporation or our form of organization to another form or (2) if we merge with or into a single direct or indirect wholly-owned subsidiary of ours. </w:t>
      </w:r>
    </w:p>
    <w:p>
      <w:pPr>
        <w:pStyle w:val="TextBody"/>
        <w:bidi w:val="0"/>
        <w:spacing w:before="240" w:after="0"/>
        <w:jc w:val="left"/>
        <w:rPr>
          <w:rFonts w:ascii="Times New Roman" w:hAnsi="Times New Roman"/>
          <w:sz w:val="20"/>
        </w:rPr>
      </w:pPr>
      <w:r>
        <w:rPr>
          <w:rFonts w:ascii="Times New Roman" w:hAnsi="Times New Roman"/>
          <w:sz w:val="20"/>
        </w:rPr>
        <w:t xml:space="preserve">The surviving business entity will succeed to, and be substituted for, us under the senior indenture and the senior debt securities and, except in the case of a lease, we shall be released from all obligations under the senior indenture and the senior debt securities. </w:t>
      </w:r>
    </w:p>
    <w:p>
      <w:pPr>
        <w:pStyle w:val="TextBody"/>
        <w:bidi w:val="0"/>
        <w:spacing w:before="240" w:after="0"/>
        <w:jc w:val="left"/>
        <w:rPr>
          <w:rFonts w:ascii="Times New Roman" w:hAnsi="Times New Roman"/>
          <w:sz w:val="20"/>
        </w:rPr>
      </w:pPr>
      <w:r>
        <w:rPr>
          <w:rFonts w:ascii="Times New Roman" w:hAnsi="Times New Roman"/>
          <w:i/>
          <w:sz w:val="20"/>
        </w:rPr>
        <w:t xml:space="preserve">No Protection in the Event of a Change in Control. </w:t>
      </w:r>
      <w:r>
        <w:rPr>
          <w:rFonts w:ascii="Times New Roman" w:hAnsi="Times New Roman"/>
          <w:sz w:val="20"/>
        </w:rPr>
        <w:t xml:space="preserve">Unless we indicate otherwise in a prospectus supplement with respect to a particular series of senior 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 xml:space="preserve">Events of Default. </w:t>
      </w:r>
      <w:r>
        <w:rPr>
          <w:rFonts w:ascii="Times New Roman" w:hAnsi="Times New Roman"/>
          <w:sz w:val="20"/>
        </w:rPr>
        <w:t xml:space="preserve">Unless we indicate otherwise in a prospectus supplement with respect to a particular series of senior debt securities, the following are events of default under the senior indenture with respect to senior debt securities of each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interest on any senior debt securities of such series when due and payable, if that default continues for a period of 30 days (or such other period as may be specified for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principal on the senior debt securities of such series when due and payable whether at maturity, upon redemption, by declaration or otherwise (and, if specified for such series, the continuance of such failure for a specified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of or breach of any of our covenants or agreements in the senior indenture applicable to senior debt securities of such series, other than a covenant breach which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or insolvency, whether or not voluntary;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for in such series of senior debt securities as may be specified in the applicable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we indicate otherwise in a prospectus supplement with respect to a particular series of senior debt securities, the default by us under any other debt, including any other series of our debt securities, is not a default under the senior indenture.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specified in the fourth bullet point above occurs and is continuing, the entire principal amount of and accrued interest on each series of senior debt securities then outstanding shall automatically become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 </w:t>
      </w:r>
    </w:p>
    <w:p>
      <w:pPr>
        <w:pStyle w:val="TextBody"/>
        <w:bidi w:val="0"/>
        <w:spacing w:before="240" w:after="0"/>
        <w:jc w:val="left"/>
        <w:rPr>
          <w:rFonts w:ascii="Times New Roman" w:hAnsi="Times New Roman"/>
          <w:sz w:val="20"/>
        </w:rPr>
      </w:pPr>
      <w:r>
        <w:rPr>
          <w:rFonts w:ascii="Times New Roman" w:hAnsi="Times New Roman"/>
          <w:sz w:val="20"/>
        </w:rPr>
        <w:t xml:space="preserve">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subject to various provisions in the senior indenture, the holders of a majority in aggregate principal amount of a series of senior debt securities, by notice to the trustee, may waive a continuing default or event of default with respect to such senior debt securities and its consequences, except a default in the payment of principal of or interest on such senior debt securities (other than any such default in payment resulting solely from an acceleration of the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gives the trustee written notice of a continuing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such series of senior debt securities make a written request to the trustee to pursue the remedy in respect of such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requesting holder or holders offer the trustee indemnity satisfactory to the trustee against any costs, liability or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comply with the request within 60 days after receipt of the request and the offer of indemnity;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such 60-day period, the holders of a majority in aggregate principal amount of such series of senior debt securities do not give the trustee a direction that is inconsistent with the request.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however, do not apply to the right of any holder of a senior debt security of any affected series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 </w:t>
      </w:r>
    </w:p>
    <w:p>
      <w:pPr>
        <w:pStyle w:val="TextBody"/>
        <w:bidi w:val="0"/>
        <w:spacing w:before="240" w:after="0"/>
        <w:jc w:val="left"/>
        <w:rPr>
          <w:rFonts w:ascii="Times New Roman" w:hAnsi="Times New Roman"/>
          <w:sz w:val="20"/>
        </w:rPr>
      </w:pPr>
      <w:r>
        <w:rPr>
          <w:rFonts w:ascii="Times New Roman" w:hAnsi="Times New Roman"/>
          <w:sz w:val="20"/>
        </w:rPr>
        <w:t xml:space="preserve">The senior indenture requires certain of our officers to certify, on or before a fixed date in each year in which any senior debt security is outstanding, as to their knowledge of our compliance with all covenants, agreements and conditions under the senior indenture. </w:t>
      </w:r>
    </w:p>
    <w:p>
      <w:pPr>
        <w:pStyle w:val="TextBody"/>
        <w:bidi w:val="0"/>
        <w:spacing w:before="240" w:after="0"/>
        <w:jc w:val="left"/>
        <w:rPr>
          <w:rFonts w:ascii="Times New Roman" w:hAnsi="Times New Roman"/>
          <w:sz w:val="20"/>
        </w:rPr>
      </w:pPr>
      <w:r>
        <w:rPr>
          <w:rFonts w:ascii="Times New Roman" w:hAnsi="Times New Roman"/>
          <w:i/>
          <w:sz w:val="20"/>
        </w:rPr>
        <w:t>Satisfaction and Discharge</w:t>
      </w:r>
      <w:r>
        <w:rPr>
          <w:rFonts w:ascii="Times New Roman" w:hAnsi="Times New Roman"/>
          <w:sz w:val="20"/>
        </w:rPr>
        <w:t xml:space="preserve">. We can satisfy and discharge our obligations to holders of any series of debt securities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the principal of and interest on all senior debt securities of such series (with certain limited exceptions) when due and payable;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deliver to the senior trustee for cancellation all senior debt securities of such series theretofore authenticated under the senior indenture (with certain limited exceptions);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senior debt securities of such series have become due and payable or will become due and payable within one year (or are to be called for redemption within one year under arrangements satisfactory to the senior trustee) and we deposit in trust an amount of cash or a combination of cash and U.S. government or U.S. government agency obligations (or in the case of senior debt securities denominated in a foreign currency, foreign government securities or foreign government agency securities) sufficient to make interest, principal and any other payments on the debt securities of that series on their various due 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if, in any such case, we also pay or cause to be paid all other sums payable under the senior indenture, as and when the same shall be due and payable and we deliver to the senior trustee an officer’s certificate and an opinion of counsel, each stating that these conditions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Under current U.S. federal income tax law, the deposit and our legal release from the debt securities would be treated as though we took back your debt securities and gave you your share of the cash and debt securities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 </w:t>
      </w:r>
    </w:p>
    <w:p>
      <w:pPr>
        <w:pStyle w:val="TextBody"/>
        <w:bidi w:val="0"/>
        <w:spacing w:before="240" w:after="0"/>
        <w:jc w:val="left"/>
        <w:rPr>
          <w:rFonts w:ascii="Times New Roman" w:hAnsi="Times New Roman"/>
          <w:sz w:val="20"/>
        </w:rPr>
      </w:pPr>
      <w:r>
        <w:rPr>
          <w:rFonts w:ascii="Times New Roman" w:hAnsi="Times New Roman"/>
          <w:i/>
          <w:sz w:val="20"/>
        </w:rPr>
        <w:t xml:space="preserve">Defeasance. </w:t>
      </w:r>
      <w:r>
        <w:rPr>
          <w:rFonts w:ascii="Times New Roman" w:hAnsi="Times New Roman"/>
          <w:sz w:val="20"/>
        </w:rPr>
        <w:t xml:space="preserve">Unless the applicable prospectus supplement provides otherwise, the following discussion of legal defeasance and covenant defeasance will apply to any series of debt securities issued under the indentures. </w:t>
      </w:r>
    </w:p>
    <w:p>
      <w:pPr>
        <w:pStyle w:val="TextBody"/>
        <w:bidi w:val="0"/>
        <w:spacing w:before="240" w:after="0"/>
        <w:jc w:val="left"/>
        <w:rPr>
          <w:rFonts w:ascii="Times New Roman" w:hAnsi="Times New Roman"/>
          <w:sz w:val="20"/>
        </w:rPr>
      </w:pPr>
      <w:r>
        <w:rPr>
          <w:rFonts w:ascii="Times New Roman" w:hAnsi="Times New Roman"/>
          <w:i/>
          <w:sz w:val="20"/>
        </w:rPr>
        <w:t>Legal Defeasance</w:t>
      </w:r>
      <w:r>
        <w:rPr>
          <w:rFonts w:ascii="Times New Roman" w:hAnsi="Times New Roman"/>
          <w:sz w:val="20"/>
        </w:rPr>
        <w:t xml:space="preserve">. We can legally release ourselves from any payment or other obligations on the debt securities of any series (called “legal defeasance”) if certain conditions are met,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deliver to the trustee a legal opinion of our counsel confirming the tax law change or ruling described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legal defeasance, as described above, you would have to rely solely on the trust deposit for repayment of the debt securities. You could not look to us for repayment in the event of any shortfall. </w:t>
      </w:r>
    </w:p>
    <w:p>
      <w:pPr>
        <w:pStyle w:val="TextBody"/>
        <w:bidi w:val="0"/>
        <w:spacing w:before="240" w:after="0"/>
        <w:jc w:val="left"/>
        <w:rPr>
          <w:rFonts w:ascii="Times New Roman" w:hAnsi="Times New Roman"/>
          <w:sz w:val="20"/>
        </w:rPr>
      </w:pPr>
      <w:r>
        <w:rPr>
          <w:rFonts w:ascii="Times New Roman" w:hAnsi="Times New Roman"/>
          <w:i/>
          <w:sz w:val="20"/>
        </w:rPr>
        <w:t>Covenant Defeasance</w:t>
      </w:r>
      <w:r>
        <w:rPr>
          <w:rFonts w:ascii="Times New Roman" w:hAnsi="Times New Roman"/>
          <w:sz w:val="20"/>
        </w:rPr>
        <w:t xml:space="preserve">. Without any change in current U.S. federal tax law, we can make the same type of deposit described above and be released from some of the covenants in the debt securities (called “covenant defeasance”). In that event, you would lose the protection of those covenants but would gain the protection of having money and securities set aside in trust to repay the debt securities. In order to achieve covenant defeasance, we must do the following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 xml:space="preserve">Modification and Waiver. </w:t>
      </w:r>
      <w:r>
        <w:rPr>
          <w:rFonts w:ascii="Times New Roman" w:hAnsi="Times New Roman"/>
          <w:sz w:val="20"/>
        </w:rPr>
        <w:t xml:space="preserve">We and the trustee may amend or supplement the senior indenture or the senior debt securities of any series without the consent of any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convey, transfer, assign, mortgage or pledge any assets as security for the senior debt securities of one or more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requirements of the SEC in order to effect or maintain the qualification of the senior indenture under the Trust Indenture Act of 1939, as amended, or the Trust Indenture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or add guarantors with respect to the senior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establish the form or forms or terms of the senior debt securities as permitted by the senior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under the senior indenture by a successor trustee, or to make such changes as shall be necessary to provide for or facilitate the administration of the trusts in the senior indenture by more than one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change or eliminate any of the provisions of the senior indenture in respect of one or more series of senior debt securities, provided that any such addition, change or elimination shall (a) neither (1) apply to any senior debt security of any series created prior to the execution of such supplemental indenture and entitled to the benefit of such provision nor (2) modify the rights of the holder of any such senior debt security with respect to such provision or (b) become effective only when there is no senior debt security described in clause (a)(1)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to the senior debt securities of any series so long as no senior debt securities of such series are outstanding;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each series affected by the amendment or modification (voting as separate series); provided, however, that each affected holder must consent to any modification, amendment or waiver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extends the final maturity of any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reduces the principal amount of any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reduces the rate, or extends the time for payment of, interest on any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reduces the amount payable upon the redemption of any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the currency of payment of principal of or interest on any senior debt securities of such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reduces the principal amount of original issue discount securities payable upon acceleration of maturity or the amount provable in bankruptcy;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waives a continuing default in the payment of principal of or interest on the senior debt securities (other than any such default in payment resulting solely from an acceleration of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the provisions relating to the waiver of past defaults or impairs the right of holders to receive payment or to institute suit for the enforcement of any payment or conversion of any senior debt securities of such series on or after the due date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affects the right to convert or exchange senior debt securities into common stock, other securities or property in accordance with the terms of the senior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reduces the above-stated percentage of outstanding senior debt securities of such series whose holders must consent to a supplemental indenture or modifies or amends or waives certain provisions of or defaults under the senior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 </w:t>
      </w:r>
    </w:p>
    <w:p>
      <w:pPr>
        <w:pStyle w:val="TextBody"/>
        <w:bidi w:val="0"/>
        <w:spacing w:before="240" w:after="0"/>
        <w:jc w:val="left"/>
        <w:rPr>
          <w:rFonts w:ascii="Times New Roman" w:hAnsi="Times New Roman"/>
          <w:sz w:val="20"/>
        </w:rPr>
      </w:pPr>
      <w:r>
        <w:rPr>
          <w:rFonts w:ascii="Times New Roman" w:hAnsi="Times New Roman"/>
          <w:i/>
          <w:sz w:val="20"/>
        </w:rPr>
        <w:t xml:space="preserve">Notice of Redemption. </w:t>
      </w:r>
      <w:r>
        <w:rPr>
          <w:rFonts w:ascii="Times New Roman" w:hAnsi="Times New Roman"/>
          <w:sz w:val="20"/>
        </w:rPr>
        <w:t xml:space="preserve">Notice of any redemption of senior debt securities will be mailed at least 10 days but not more than 60 days before the redemption date to each holder of senior debt securities of a series to be redeemed. Any notice may, at our discretion, be subject to the satisfaction or waiver of one or more conditions precedent. In that case, such notice shall state the nature of such condition precedent. If we elect to redeem a portion but not all of such senior debt securities, the trustee will select the senior debt securities to be redeemed in a manner that complies with applicable legal and stock exchange requirements, if any. Interest on such debt securities or portions of senior debt securities will cease to accrue on and after the date fixed for redemption, unless we default in the payment of such redemption price and accrued interest with respect to any such senior debt security or portion thereof. </w:t>
      </w:r>
    </w:p>
    <w:p>
      <w:pPr>
        <w:pStyle w:val="TextBody"/>
        <w:bidi w:val="0"/>
        <w:spacing w:before="240" w:after="0"/>
        <w:jc w:val="left"/>
        <w:rPr>
          <w:rFonts w:ascii="Times New Roman" w:hAnsi="Times New Roman"/>
          <w:sz w:val="20"/>
        </w:rPr>
      </w:pPr>
      <w:r>
        <w:rPr>
          <w:rFonts w:ascii="Times New Roman" w:hAnsi="Times New Roman"/>
          <w:sz w:val="20"/>
        </w:rPr>
        <w:t xml:space="preserve">If any date of redemption of any senior debt security is not a business day, then payment of principal and interest may be made on the next succeeding business day with the same force and effect as if made on the nominal date of redemption and no interest will accrue for the period after such nominal date. </w:t>
      </w:r>
    </w:p>
    <w:p>
      <w:pPr>
        <w:pStyle w:val="TextBody"/>
        <w:bidi w:val="0"/>
        <w:spacing w:before="240" w:after="0"/>
        <w:jc w:val="left"/>
        <w:rPr>
          <w:rFonts w:ascii="Times New Roman" w:hAnsi="Times New Roman"/>
          <w:sz w:val="20"/>
        </w:rPr>
      </w:pPr>
      <w:r>
        <w:rPr>
          <w:rFonts w:ascii="Times New Roman" w:hAnsi="Times New Roman"/>
          <w:i/>
          <w:sz w:val="20"/>
        </w:rPr>
        <w:t xml:space="preserve">Conversion Rights. </w:t>
      </w:r>
      <w:r>
        <w:rPr>
          <w:rFonts w:ascii="Times New Roman" w:hAnsi="Times New Roman"/>
          <w:sz w:val="20"/>
        </w:rPr>
        <w:t xml:space="preserve">We will describe the terms upon which senior debt securities may be convertible into our common stock or other securities in a prospectus supplement. These terms will include the type of securities the senior debt securities are convertible into, the conversion price or manner of calculation thereof, the conversion period, provisions as to whether conversion will be at our option or the option of the holders, the events requiring an adjustment of the conversion price and provisions affecting conversion in the event of the redemption of the senior debt securities and any restrictions on conversion. They may also include provisions adjusting the number of shares of our common stock or other securities issuable upon conversion. </w:t>
      </w:r>
    </w:p>
    <w:p>
      <w:pPr>
        <w:pStyle w:val="TextBody"/>
        <w:bidi w:val="0"/>
        <w:spacing w:before="240" w:after="0"/>
        <w:jc w:val="left"/>
        <w:rPr>
          <w:rFonts w:ascii="Times New Roman" w:hAnsi="Times New Roman"/>
          <w:sz w:val="20"/>
        </w:rPr>
      </w:pPr>
      <w:r>
        <w:rPr>
          <w:rFonts w:ascii="Times New Roman" w:hAnsi="Times New Roman"/>
          <w:i/>
          <w:sz w:val="20"/>
        </w:rPr>
        <w:t xml:space="preserve">No Personal Liability of Incorporators, Stockholders, Officers, or Directors. </w:t>
      </w:r>
      <w:r>
        <w:rPr>
          <w:rFonts w:ascii="Times New Roman" w:hAnsi="Times New Roman"/>
          <w:sz w:val="20"/>
        </w:rPr>
        <w:t xml:space="preserve">The senior indenture provides that no recourse shall be had under any obligation, covenant or agreement of ours in the senior indenture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 </w:t>
      </w:r>
    </w:p>
    <w:p>
      <w:pPr>
        <w:pStyle w:val="TextBody"/>
        <w:bidi w:val="0"/>
        <w:spacing w:before="240" w:after="0"/>
        <w:jc w:val="left"/>
        <w:rPr>
          <w:rFonts w:ascii="Times New Roman" w:hAnsi="Times New Roman"/>
          <w:sz w:val="20"/>
        </w:rPr>
      </w:pPr>
      <w:r>
        <w:rPr>
          <w:rFonts w:ascii="Times New Roman" w:hAnsi="Times New Roman"/>
          <w:i/>
          <w:sz w:val="20"/>
        </w:rPr>
        <w:t xml:space="preserve">Concerning the Trustee. </w:t>
      </w:r>
      <w:r>
        <w:rPr>
          <w:rFonts w:ascii="Times New Roman" w:hAnsi="Times New Roman"/>
          <w:sz w:val="20"/>
        </w:rPr>
        <w:t xml:space="preserve">The senior indenture provides that, except during the continuance of an event of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 </w:t>
      </w:r>
    </w:p>
    <w:p>
      <w:pPr>
        <w:pStyle w:val="TextBody"/>
        <w:bidi w:val="0"/>
        <w:spacing w:before="240" w:after="0"/>
        <w:jc w:val="left"/>
        <w:rPr>
          <w:rFonts w:ascii="Times New Roman" w:hAnsi="Times New Roman"/>
          <w:sz w:val="20"/>
        </w:rPr>
      </w:pPr>
      <w:r>
        <w:rPr>
          <w:rFonts w:ascii="Times New Roman" w:hAnsi="Times New Roman"/>
          <w:sz w:val="20"/>
        </w:rPr>
        <w:t xml:space="preserve">The senior indenture and the provisions of the Trust Indenture Act incorporated by reference therein contain limitations on the rights of the trustee thereunder, should it become a creditor of ours or any of our subsidiaries,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 </w:t>
      </w:r>
    </w:p>
    <w:p>
      <w:pPr>
        <w:pStyle w:val="TextBody"/>
        <w:bidi w:val="0"/>
        <w:spacing w:before="240" w:after="0"/>
        <w:jc w:val="left"/>
        <w:rPr>
          <w:rFonts w:ascii="Times New Roman" w:hAnsi="Times New Roman"/>
          <w:sz w:val="20"/>
        </w:rPr>
      </w:pPr>
      <w:r>
        <w:rPr>
          <w:rFonts w:ascii="Times New Roman" w:hAnsi="Times New Roman"/>
          <w:sz w:val="20"/>
        </w:rPr>
        <w:t xml:space="preserve">We may have normal banking relationships with the senior trustee in the ordinary course of business. </w:t>
      </w:r>
    </w:p>
    <w:p>
      <w:pPr>
        <w:pStyle w:val="TextBody"/>
        <w:bidi w:val="0"/>
        <w:spacing w:before="240" w:after="0"/>
        <w:jc w:val="left"/>
        <w:rPr>
          <w:rFonts w:ascii="Times New Roman" w:hAnsi="Times New Roman"/>
          <w:sz w:val="20"/>
        </w:rPr>
      </w:pPr>
      <w:r>
        <w:rPr>
          <w:rFonts w:ascii="Times New Roman" w:hAnsi="Times New Roman"/>
          <w:i/>
          <w:sz w:val="20"/>
        </w:rPr>
        <w:t xml:space="preserve">Unclaimed Funds. </w:t>
      </w:r>
      <w:r>
        <w:rPr>
          <w:rFonts w:ascii="Times New Roman" w:hAnsi="Times New Roman"/>
          <w:sz w:val="20"/>
        </w:rPr>
        <w:t xml:space="preserve">All funds deposited with the trustee or any paying agent for the payment of principal, premium, interest or additional amounts in respect of the senior debt securities that remain unclaimed for two years after the date upon which such amounts became due and payable will be repaid to us. Thereafter, any right of any holder of senior debt securities to such funds shall be enforceable only against us, and the trustee and paying agents will have no liability therefor. </w:t>
      </w:r>
    </w:p>
    <w:p>
      <w:pPr>
        <w:pStyle w:val="TextBody"/>
        <w:bidi w:val="0"/>
        <w:spacing w:before="240" w:after="0"/>
        <w:jc w:val="left"/>
        <w:rPr>
          <w:rFonts w:ascii="Times New Roman" w:hAnsi="Times New Roman"/>
          <w:sz w:val="20"/>
        </w:rPr>
      </w:pPr>
      <w:r>
        <w:rPr>
          <w:rFonts w:ascii="Times New Roman" w:hAnsi="Times New Roman"/>
          <w:i/>
          <w:sz w:val="20"/>
        </w:rPr>
        <w:t xml:space="preserve">Governing Law. </w:t>
      </w:r>
      <w:r>
        <w:rPr>
          <w:rFonts w:ascii="Times New Roman" w:hAnsi="Times New Roman"/>
          <w:sz w:val="20"/>
        </w:rPr>
        <w:t xml:space="preserve">The senior indenture and the senior debt securities will be governed by, and construed in accordance with, the internal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Certain Terms of the Subordinated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Additional or different subordination terms may be specified in the prospectus supplement applicable to a particular series. </w:t>
      </w:r>
    </w:p>
    <w:p>
      <w:pPr>
        <w:pStyle w:val="TextBody"/>
        <w:bidi w:val="0"/>
        <w:spacing w:before="240" w:after="0"/>
        <w:jc w:val="left"/>
        <w:rPr>
          <w:rFonts w:ascii="Times New Roman" w:hAnsi="Times New Roman"/>
          <w:sz w:val="20"/>
        </w:rPr>
      </w:pPr>
      <w:r>
        <w:rPr>
          <w:rFonts w:ascii="Times New Roman" w:hAnsi="Times New Roman"/>
          <w:i/>
          <w:sz w:val="20"/>
        </w:rPr>
        <w:t xml:space="preserve">Subordination. </w:t>
      </w:r>
      <w:r>
        <w:rPr>
          <w:rFonts w:ascii="Times New Roman" w:hAnsi="Times New Roman"/>
          <w:sz w:val="20"/>
        </w:rPr>
        <w:t xml:space="preserve">The indebtedness evidenced by the subordinated debt securities is subordinate to the prior payment in full of all of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indebtedness of that person for money borrowed;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indebtedness of that person evidenced by notes, debentures, bonds or other securities sold by that person for money;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lease obligations that are capitalized on the books of that person in accordance with generally accepted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renewals, extensions or refundings of indebtedness of the kinds described in the first, second or fourth bullet point above and all renewals or extensions of leases of the kinds described in the third or fourth bullet point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a98164_9"/>
      <w:bookmarkEnd w:id="23"/>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our capital stock is intended as a summary only and therefore is not a complete description of our capital stock. This description is based upon, and is qualified by reference to, our restated certificate of incorporation, our amended and restated bylaws and applicable provisions of Delaware corporate law. You should read our restated certificate of incorporation and amended and restated bylaws, which are filed as exhibits to the registration statement of which this prospectus forms a part, for the provisions that are important to you.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our authorized capital stock consists of 200,000,000 shares of common stock, par value $0.0001 per share, and 10,000,000 shares of preferred stock, par value $0.0001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i/>
          <w:sz w:val="20"/>
        </w:rPr>
        <w:t xml:space="preserve">Voting Rights. </w:t>
      </w:r>
      <w:r>
        <w:rPr>
          <w:rFonts w:ascii="Times New Roman" w:hAnsi="Times New Roman"/>
          <w:sz w:val="20"/>
        </w:rPr>
        <w:t xml:space="preserve">Holders of our common stock are entitled to one vote for each share held on all matters submitted to a vote of stockholders and do not have cumulative voting rights. Each election of directors by our stockholders will be determined by a plurality of the votes cast by the stockholders entitled to vote on the election.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Holders of common stock are entitled to receive proportionately any dividends as may be declared by our board of directors, subject to any preferential dividend rights of outstanding preferred stock that we may designate and issue in the future. </w:t>
      </w:r>
    </w:p>
    <w:p>
      <w:pPr>
        <w:pStyle w:val="TextBody"/>
        <w:bidi w:val="0"/>
        <w:spacing w:before="240" w:after="0"/>
        <w:jc w:val="left"/>
        <w:rPr>
          <w:rFonts w:ascii="Times New Roman" w:hAnsi="Times New Roman"/>
          <w:sz w:val="20"/>
        </w:rPr>
      </w:pPr>
      <w:r>
        <w:rPr>
          <w:rFonts w:ascii="Times New Roman" w:hAnsi="Times New Roman"/>
          <w:i/>
          <w:sz w:val="20"/>
        </w:rPr>
        <w:t>Liquidation, Dissolution and Winding Up</w:t>
      </w:r>
      <w:r>
        <w:rPr>
          <w:rFonts w:ascii="Times New Roman" w:hAnsi="Times New Roman"/>
          <w:sz w:val="20"/>
        </w:rPr>
        <w:t xml:space="preserve">. In the event of our liquidation or dissolution, the holders of our common stock are entitled to receive proportionately all assets available for distribution to stockholders after the payment of all debts and other liabilities and subject to the prior rights of any of our outstanding preferred stock. Holders of our common stock have no preemptive, subscription, redemption or conversion rights. The rights, preferences and privileges of holders of our common stock are subject to and may be adversely affected by the rights of the holders of shares of any series of our preferred stock that we may designate and issue in the future. </w:t>
      </w:r>
    </w:p>
    <w:p>
      <w:pPr>
        <w:pStyle w:val="TextBody"/>
        <w:bidi w:val="0"/>
        <w:spacing w:before="240" w:after="0"/>
        <w:jc w:val="left"/>
        <w:rPr>
          <w:rFonts w:ascii="Times New Roman" w:hAnsi="Times New Roman"/>
          <w:sz w:val="20"/>
        </w:rPr>
      </w:pPr>
      <w:r>
        <w:rPr>
          <w:rFonts w:ascii="Times New Roman" w:hAnsi="Times New Roman"/>
          <w:i/>
          <w:sz w:val="20"/>
        </w:rPr>
        <w:t>Other Rights</w:t>
      </w:r>
      <w:r>
        <w:rPr>
          <w:rFonts w:ascii="Times New Roman" w:hAnsi="Times New Roman"/>
          <w:sz w:val="20"/>
        </w:rPr>
        <w:t xml:space="preserve">. Holders of the common stock have no right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convert the stock into any other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the stock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additional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their proportionate ownership interest.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of shares of the common stock are not required to make additional capital contributions. </w:t>
      </w:r>
    </w:p>
    <w:p>
      <w:pPr>
        <w:pStyle w:val="TextBody"/>
        <w:bidi w:val="0"/>
        <w:spacing w:before="240" w:after="0"/>
        <w:jc w:val="left"/>
        <w:rPr>
          <w:rFonts w:ascii="Times New Roman" w:hAnsi="Times New Roman"/>
          <w:sz w:val="20"/>
        </w:rPr>
      </w:pPr>
      <w:r>
        <w:rPr>
          <w:rFonts w:ascii="Times New Roman" w:hAnsi="Times New Roman"/>
          <w:i/>
          <w:sz w:val="20"/>
        </w:rPr>
        <w:t>Transfer Agent and Registrar</w:t>
      </w:r>
      <w:r>
        <w:rPr>
          <w:rFonts w:ascii="Times New Roman" w:hAnsi="Times New Roman"/>
          <w:sz w:val="20"/>
        </w:rPr>
        <w:t xml:space="preserve">. Computershare Trust Company, N.A. is transfer agent and registrar for the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our restated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The specific terms of any series of preferred stock offered pursuant to this prospectus will be described in the prospectus supplement relating to that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authorizing our board of directors to issue preferred stock and determine its rights and preferences is to eliminate delays associated with a stockholder vote on specific issuances. The issuance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There are no shares of preferred stock currently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stated value per share of the preferred stock and the number of shares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liquidation preference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preferred stock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or method of calculation of dividends, the dates on which dividends will be payable, whether dividends will be cumulative or noncumulative and, if cumulative, the dates from which dividends will commence to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sinking fund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currency of the United States, the currency or currencies including composite currencies in which the preferred stock is denominated and/or in which payments will or may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conversion provisions;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rights, preferences, privileges, limitations and restrictions on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 </w:t>
      </w:r>
    </w:p>
    <w:p>
      <w:pPr>
        <w:pStyle w:val="TextBody"/>
        <w:bidi w:val="0"/>
        <w:spacing w:before="240" w:after="0"/>
        <w:jc w:val="left"/>
        <w:rPr>
          <w:rFonts w:ascii="Times New Roman" w:hAnsi="Times New Roman"/>
          <w:sz w:val="20"/>
        </w:rPr>
      </w:pPr>
      <w:r>
        <w:rPr>
          <w:rFonts w:ascii="Times New Roman" w:hAnsi="Times New Roman"/>
          <w:i/>
          <w:sz w:val="20"/>
        </w:rPr>
        <w:t>Rank</w:t>
      </w:r>
      <w:r>
        <w:rPr>
          <w:rFonts w:ascii="Times New Roman" w:hAnsi="Times New Roman"/>
          <w:sz w:val="20"/>
        </w:rPr>
        <w:t xml:space="preserve">. Unless otherwise specified in the prospectus supplement, the preferred stock will, with respect to dividend rights and rights upon our liquidation, dissolution or winding up of our affairs, rank: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our common stock and to all equity securities ranking junior to such preferred stock with respect to dividend rights or rights upon our liquidation, dissolution or winding up of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parity with all equity securities issued by us, the terms of which specifically provide that such equity securities rank on a parity with the preferred stock with respect to dividend rights or rights upon our liquidation, dissolution or winding up of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junior to all equity securities issued by us, the terms of which specifically provide that such equity securities rank senior to the preferred stock with respect to dividend rights or rights upon our liquidation, dissolution or winding up of our affairs.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“equity securities” does not include convertible debt securities.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Holders of the preferred stock of each series will be entitled to receive, when, as and if declared by our board of directors, cash dividends at such rates and on such dates described in the prospectus 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Dividends on any series of preferred stock may be cumulative or noncumulative, as described in the applicable prospectus supplement. If our board of directors does not declare a dividend payable on a dividend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 </w:t>
      </w:r>
    </w:p>
    <w:p>
      <w:pPr>
        <w:pStyle w:val="TextBody"/>
        <w:bidi w:val="0"/>
        <w:spacing w:before="240" w:after="0"/>
        <w:jc w:val="left"/>
        <w:rPr>
          <w:rFonts w:ascii="Times New Roman" w:hAnsi="Times New Roman"/>
          <w:sz w:val="20"/>
        </w:rPr>
      </w:pPr>
      <w:r>
        <w:rPr>
          <w:rFonts w:ascii="Times New Roman" w:hAnsi="Times New Roman"/>
          <w:sz w:val="20"/>
        </w:rPr>
        <w:t xml:space="preserve">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 </w:t>
      </w:r>
    </w:p>
    <w:p>
      <w:pPr>
        <w:pStyle w:val="TextBody"/>
        <w:bidi w:val="0"/>
        <w:spacing w:before="240" w:after="0"/>
        <w:jc w:val="left"/>
        <w:rPr>
          <w:rFonts w:ascii="Times New Roman" w:hAnsi="Times New Roman"/>
          <w:sz w:val="20"/>
        </w:rPr>
      </w:pPr>
      <w:r>
        <w:rPr>
          <w:rFonts w:ascii="Times New Roman" w:hAnsi="Times New Roman"/>
          <w:i/>
          <w:sz w:val="20"/>
        </w:rPr>
        <w:t>Liquidation Preference</w:t>
      </w:r>
      <w:r>
        <w:rPr>
          <w:rFonts w:ascii="Times New Roman" w:hAnsi="Times New Roman"/>
          <w:sz w:val="20"/>
        </w:rPr>
        <w:t xml:space="preserve">. Upon any voluntary or involuntary liquidation, dissolution or winding up of our affairs, then, before we make any distribution or 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ranking on parity with the preferred stock will share ratably in any such distribution of assets in proportion to the full liquidating distributions to which they would otherwise be entitled. </w:t>
      </w:r>
    </w:p>
    <w:p>
      <w:pPr>
        <w:pStyle w:val="TextBody"/>
        <w:bidi w:val="0"/>
        <w:spacing w:before="240" w:after="0"/>
        <w:jc w:val="left"/>
        <w:rPr>
          <w:rFonts w:ascii="Times New Roman" w:hAnsi="Times New Roman"/>
          <w:sz w:val="20"/>
        </w:rPr>
      </w:pPr>
      <w:r>
        <w:rPr>
          <w:rFonts w:ascii="Times New Roman" w:hAnsi="Times New Roman"/>
          <w:sz w:val="20"/>
        </w:rPr>
        <w:t xml:space="preserve">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 </w:t>
      </w:r>
    </w:p>
    <w:p>
      <w:pPr>
        <w:pStyle w:val="TextBody"/>
        <w:bidi w:val="0"/>
        <w:spacing w:before="240" w:after="0"/>
        <w:jc w:val="left"/>
        <w:rPr>
          <w:rFonts w:ascii="Times New Roman" w:hAnsi="Times New Roman"/>
          <w:sz w:val="20"/>
        </w:rPr>
      </w:pPr>
      <w:r>
        <w:rPr>
          <w:rFonts w:ascii="Times New Roman" w:hAnsi="Times New Roman"/>
          <w:i/>
          <w:sz w:val="20"/>
        </w:rPr>
        <w:t>Redemption</w:t>
      </w:r>
      <w:r>
        <w:rPr>
          <w:rFonts w:ascii="Times New Roman" w:hAnsi="Times New Roman"/>
          <w:sz w:val="20"/>
        </w:rPr>
        <w:t xml:space="preserve">. If so provided in the applicable prospectus supplement, the preferred stock will be subject to mandatory redemption or redemption at our option, as a whole or in part, in each case upon the terms, at the times and at the redemption prices set forth in such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applicable shares of our capital stock pursuant to conversion provisions specified in the applicable prospectus supplement. Notwithstanding the foregoing, we will not redeem any preferred stock of a series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that series of preferred stock has a cumulative dividend, we have declared and paid or contemporaneously declare and pay or set aside funds to pay full cumulative dividends on the preferred stock for all past dividend periods and the then current dividend period;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series of preferred stock does not have a cumulative dividend, we have declared and paid or contemporaneously declare and pay or set aside funds to pay full dividends for the then current dividend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will not acquire any preferred stock of a series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that series of preferred stock does not have a cumulative dividend, we have declared and paid or contemporaneously declare and pay or set aside funds to pay full dividends on the preferred stock of such series for the then current dividend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 </w:t>
      </w:r>
    </w:p>
    <w:p>
      <w:pPr>
        <w:pStyle w:val="TextBody"/>
        <w:bidi w:val="0"/>
        <w:spacing w:before="240" w:after="0"/>
        <w:jc w:val="left"/>
        <w:rPr>
          <w:rFonts w:ascii="Times New Roman" w:hAnsi="Times New Roman"/>
          <w:sz w:val="20"/>
        </w:rPr>
      </w:pPr>
      <w:r>
        <w:rPr>
          <w:rFonts w:ascii="Times New Roman" w:hAnsi="Times New Roman"/>
          <w:sz w:val="20"/>
        </w:rPr>
        <w:t xml:space="preserve">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prospectus supplement, we will mail notice of redemption at least 10 days but not more than 60 days before the redemption date to each holder of record of preferred stock to be redeemed at the address shown on our stock transfer books. Each notice shall state: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and series of preferred stock to be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certificates for such preferred stock are to be surrendered for payment of 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dividends on the shares to be redeemed will cease to accrue on such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holder’s conversion rights, if any, as to such shares shall terminate;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specific number of shares to be redeemed from each such holder if fewer than all the shares of any series are to be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 </w:t>
      </w:r>
    </w:p>
    <w:p>
      <w:pPr>
        <w:pStyle w:val="TextBody"/>
        <w:bidi w:val="0"/>
        <w:spacing w:before="24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Holders of preferred stock will not have any voting rights, except as required by law or as indicated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otherwise provided for under the terms of any series of preferred stock, no consent or vote of the holders of shares of preferred stock or any series thereof shall be required for any amendment to our restated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 </w:t>
      </w:r>
    </w:p>
    <w:p>
      <w:pPr>
        <w:pStyle w:val="TextBody"/>
        <w:bidi w:val="0"/>
        <w:spacing w:before="240" w:after="0"/>
        <w:jc w:val="left"/>
        <w:rPr>
          <w:rFonts w:ascii="Times New Roman" w:hAnsi="Times New Roman"/>
          <w:sz w:val="20"/>
        </w:rPr>
      </w:pPr>
      <w:r>
        <w:rPr>
          <w:rFonts w:ascii="Times New Roman" w:hAnsi="Times New Roman"/>
          <w:i/>
          <w:sz w:val="20"/>
        </w:rPr>
        <w:t>Conversion Rights</w:t>
      </w:r>
      <w:r>
        <w:rPr>
          <w:rFonts w:ascii="Times New Roman" w:hAnsi="Times New Roman"/>
          <w:sz w:val="20"/>
        </w:rPr>
        <w:t xml:space="preserve">. The terms and conditions, if any, upon which any series of preferred stock is convertible into shares of our common stock will be set 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 </w:t>
      </w:r>
    </w:p>
    <w:p>
      <w:pPr>
        <w:pStyle w:val="TextBody"/>
        <w:bidi w:val="0"/>
        <w:spacing w:before="240" w:after="0"/>
        <w:jc w:val="left"/>
        <w:rPr>
          <w:rFonts w:ascii="Times New Roman" w:hAnsi="Times New Roman"/>
          <w:sz w:val="20"/>
        </w:rPr>
      </w:pPr>
      <w:r>
        <w:rPr>
          <w:rFonts w:ascii="Times New Roman" w:hAnsi="Times New Roman"/>
          <w:i/>
          <w:sz w:val="20"/>
        </w:rPr>
        <w:t>Transfer Agent and Registrar</w:t>
      </w:r>
      <w:r>
        <w:rPr>
          <w:rFonts w:ascii="Times New Roman" w:hAnsi="Times New Roman"/>
          <w:sz w:val="20"/>
        </w:rPr>
        <w:t xml:space="preserve">. The transfer agent and registrar for the preferred stock will be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an amended and restated investors’ rights agreement dated as of August 7, 2020, or the investors’ rights agreement, with certain holders of our common stock. These holders have the right to require us to register these shares under the Securities Act upon demand and in connection with any registration statement that we plan to file, as described below under “—Demand registration rights” and “—Incidental registration rights.” We refer to the shares with these registration rights as registrable securities. After registration pursuant to these rights, the registrable securities will become freely tradable without restriction under the Securities Act. </w:t>
      </w:r>
    </w:p>
    <w:p>
      <w:pPr>
        <w:pStyle w:val="TextBody"/>
        <w:bidi w:val="0"/>
        <w:spacing w:before="240" w:after="0"/>
        <w:jc w:val="left"/>
        <w:rPr>
          <w:rFonts w:ascii="Times New Roman" w:hAnsi="Times New Roman"/>
          <w:sz w:val="20"/>
        </w:rPr>
      </w:pPr>
      <w:r>
        <w:rPr>
          <w:rFonts w:ascii="Times New Roman" w:hAnsi="Times New Roman"/>
          <w:i/>
          <w:sz w:val="20"/>
        </w:rPr>
        <w:t>Demand registration rights</w:t>
      </w:r>
      <w:r>
        <w:rPr>
          <w:rFonts w:ascii="Times New Roman" w:hAnsi="Times New Roman"/>
          <w:sz w:val="20"/>
        </w:rPr>
        <w:t xml:space="preserve">. Under the investors’ rights agreement, subject to specified limitations set forth therein, certain holders of at least 30% of the registrable securities then outstanding may request that we register their registrable securities on Form S-3 for purposes of a public offering for which the anticipated aggregate offering price to the public would exceed, net of selling expenses, $10 million.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use our commercially reasonable efforts to cause such registration statements to become effective. </w:t>
      </w:r>
    </w:p>
    <w:p>
      <w:pPr>
        <w:pStyle w:val="TextBody"/>
        <w:bidi w:val="0"/>
        <w:spacing w:before="240" w:after="0"/>
        <w:jc w:val="left"/>
        <w:rPr>
          <w:rFonts w:ascii="Times New Roman" w:hAnsi="Times New Roman"/>
          <w:sz w:val="20"/>
        </w:rPr>
      </w:pPr>
      <w:r>
        <w:rPr>
          <w:rFonts w:ascii="Times New Roman" w:hAnsi="Times New Roman"/>
          <w:i/>
          <w:sz w:val="20"/>
        </w:rPr>
        <w:t>Incidental registration rights</w:t>
      </w:r>
      <w:r>
        <w:rPr>
          <w:rFonts w:ascii="Times New Roman" w:hAnsi="Times New Roman"/>
          <w:sz w:val="20"/>
        </w:rPr>
        <w:t xml:space="preserve">. If we propose to register for our own account any of our securities under the Securities Act, the holders of registrable securities will be entitled to notice of the registration and, subject to specified exceptions, have the right to require us to register all or a portion of the registrable securities then held by them in that registration. We have the right to terminate or withdraw any registration initiated by us before the effective date of such registration.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any registration in which the holders of registrable securities participate pursuant to our investors’ rights agreement is an underwritten public offering, we have agreed to enter into an underwriting agreement in usual and customary form. </w:t>
      </w:r>
    </w:p>
    <w:p>
      <w:pPr>
        <w:pStyle w:val="TextBody"/>
        <w:bidi w:val="0"/>
        <w:spacing w:before="240" w:after="0"/>
        <w:jc w:val="left"/>
        <w:rPr>
          <w:rFonts w:ascii="Times New Roman" w:hAnsi="Times New Roman"/>
          <w:sz w:val="20"/>
        </w:rPr>
      </w:pPr>
      <w:r>
        <w:rPr>
          <w:rFonts w:ascii="Times New Roman" w:hAnsi="Times New Roman"/>
          <w:i/>
          <w:sz w:val="20"/>
        </w:rPr>
        <w:t>Expenses</w:t>
      </w:r>
      <w:r>
        <w:rPr>
          <w:rFonts w:ascii="Times New Roman" w:hAnsi="Times New Roman"/>
          <w:sz w:val="20"/>
        </w:rPr>
        <w:t xml:space="preserve">. Pursuant to the investors’ rights agreement, we are required to pay all registration expenses, including all registration, filing and qualification fees; printing and accounting fees; reasonable fees and disbursements not to exceed $35,000 of one counsel representing the selling stockholders; but excluding underwriting discounts, selling commissions and stock transfer taxes applicable to the sale of registrable securities and the fees and expenses of the selling stockholders’ own counsel (other than the counsel selected to represent all selling stockholders). The investors’ rights agreement contains customary cross-indemnification provisions, pursuant to which we are obligated to indemnify the selling stockholders in the event of material misstatements or omissions in the registration statement attributable to us or any violation or alleged violation whether by action or inaction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us under the Securities Act, the Exchange Act, any state securities or Blue Sky law or any rule or regulation promulgated under the Securities Act, the Exchange Act or any state securities or Blue Sky law in connection with such registration statement or the qualification or compliance of the offering, and they are obligated to indemnify us for material misstatements or omissions in the registration statement attributable to them. </w:t>
      </w:r>
    </w:p>
    <w:p>
      <w:pPr>
        <w:pStyle w:val="TextBody"/>
        <w:bidi w:val="0"/>
        <w:spacing w:before="360" w:after="0"/>
        <w:jc w:val="left"/>
        <w:rPr>
          <w:rFonts w:ascii="Times New Roman" w:hAnsi="Times New Roman"/>
          <w:b/>
          <w:sz w:val="20"/>
        </w:rPr>
      </w:pPr>
      <w:r>
        <w:rPr>
          <w:rFonts w:ascii="Times New Roman" w:hAnsi="Times New Roman"/>
          <w:b/>
          <w:sz w:val="20"/>
        </w:rPr>
        <w:t xml:space="preserve">Provisions of Our Restated Certificate of Incorporation and Amended and Restated Bylaws and Delaware Law That May Have Anti-Takeover Effects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Delaware law, our restated certificate of incorporation and our amended and restated bylaws may have the effect of making it more difficult for a third party to acquire, or of discouraging a third party from attempting to acquire, control of us. Such provisions could limit the price that certain investors might be willing to pay in the future for shares of our common stock and may limit the ability of stockholders to remove current management or directors or approve transactions that stockholders may deem to be in their best interest and, therefore, could adversely affect the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are intended to enhance the likelihood of continued stability in the composition of our board of directors and in the policies our board of directors implements, and to discourage certain types of transactions that may involve an actual or threatened change of our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w:t>
      </w:r>
    </w:p>
    <w:p>
      <w:pPr>
        <w:pStyle w:val="TextBody"/>
        <w:bidi w:val="0"/>
        <w:spacing w:before="240" w:after="0"/>
        <w:jc w:val="left"/>
        <w:rPr>
          <w:rFonts w:ascii="Times New Roman" w:hAnsi="Times New Roman"/>
          <w:sz w:val="20"/>
        </w:rPr>
      </w:pPr>
      <w:r>
        <w:rPr>
          <w:rFonts w:ascii="Times New Roman" w:hAnsi="Times New Roman"/>
          <w:i/>
          <w:sz w:val="20"/>
        </w:rPr>
        <w:t xml:space="preserve">No Cumulative Voting. </w:t>
      </w:r>
      <w:r>
        <w:rPr>
          <w:rFonts w:ascii="Times New Roman" w:hAnsi="Times New Roman"/>
          <w:sz w:val="20"/>
        </w:rPr>
        <w:t xml:space="preserve">The Delaware General Corporation Law, or DGCL, provides that stockholders are not entitled to the right to accumulate votes in the election of directors unless our restated certificate of incorporation provides otherwise. Our restated certificate of incorporation does not provide for cumulative voting. </w:t>
      </w:r>
    </w:p>
    <w:p>
      <w:pPr>
        <w:pStyle w:val="TextBody"/>
        <w:bidi w:val="0"/>
        <w:spacing w:before="240" w:after="0"/>
        <w:jc w:val="left"/>
        <w:rPr>
          <w:rFonts w:ascii="Times New Roman" w:hAnsi="Times New Roman"/>
          <w:sz w:val="20"/>
        </w:rPr>
      </w:pPr>
      <w:r>
        <w:rPr>
          <w:rFonts w:ascii="Times New Roman" w:hAnsi="Times New Roman"/>
          <w:i/>
          <w:sz w:val="20"/>
        </w:rPr>
        <w:t>Board of Directors</w:t>
      </w:r>
      <w:r>
        <w:rPr>
          <w:rFonts w:ascii="Times New Roman" w:hAnsi="Times New Roman"/>
          <w:sz w:val="20"/>
        </w:rPr>
        <w:t xml:space="preserve">. Our restated certificate of incorporation and amended and restated bylaws provide for a board of directors divided as nearly equally as possible into three classes. Each class is elected to a term expiring at the annual meeting of stockholders held in the third year following the year of such election. The number of directors comprising our board of directors is fixed from time to time by the board of directors. </w:t>
      </w:r>
    </w:p>
    <w:p>
      <w:pPr>
        <w:pStyle w:val="TextBody"/>
        <w:bidi w:val="0"/>
        <w:spacing w:before="240" w:after="0"/>
        <w:jc w:val="left"/>
        <w:rPr>
          <w:rFonts w:ascii="Times New Roman" w:hAnsi="Times New Roman"/>
          <w:sz w:val="20"/>
        </w:rPr>
      </w:pPr>
      <w:r>
        <w:rPr>
          <w:rFonts w:ascii="Times New Roman" w:hAnsi="Times New Roman"/>
          <w:i/>
          <w:sz w:val="20"/>
        </w:rPr>
        <w:t>Removal of Directors by Stockholders</w:t>
      </w:r>
      <w:r>
        <w:rPr>
          <w:rFonts w:ascii="Times New Roman" w:hAnsi="Times New Roman"/>
          <w:sz w:val="20"/>
        </w:rPr>
        <w:t xml:space="preserve">. Delaware law provides that members of our board of directors may only be removed for cause by a vote of the holders of a majority of the outstanding shares entitled to vote on the election of the directors. </w:t>
      </w:r>
    </w:p>
    <w:p>
      <w:pPr>
        <w:pStyle w:val="TextBody"/>
        <w:bidi w:val="0"/>
        <w:spacing w:before="240" w:after="0"/>
        <w:jc w:val="left"/>
        <w:rPr>
          <w:rFonts w:ascii="Times New Roman" w:hAnsi="Times New Roman"/>
          <w:sz w:val="20"/>
        </w:rPr>
      </w:pPr>
      <w:r>
        <w:rPr>
          <w:rFonts w:ascii="Times New Roman" w:hAnsi="Times New Roman"/>
          <w:i/>
          <w:sz w:val="20"/>
        </w:rPr>
        <w:t>Board Vacancies Filled Only by Majority of Directors Then in Office</w:t>
      </w:r>
      <w:r>
        <w:rPr>
          <w:rFonts w:ascii="Times New Roman" w:hAnsi="Times New Roman"/>
          <w:sz w:val="20"/>
        </w:rPr>
        <w:t xml:space="preserve">. Vacancies and newly created seats on our board may be filled only by our board of directors. Further, only our board of directors may determine the number of directors on our board. </w:t>
      </w:r>
    </w:p>
    <w:p>
      <w:pPr>
        <w:pStyle w:val="TextBody"/>
        <w:bidi w:val="0"/>
        <w:spacing w:before="240" w:after="0"/>
        <w:jc w:val="left"/>
        <w:rPr>
          <w:rFonts w:ascii="Times New Roman" w:hAnsi="Times New Roman"/>
          <w:sz w:val="20"/>
        </w:rPr>
      </w:pPr>
      <w:r>
        <w:rPr>
          <w:rFonts w:ascii="Times New Roman" w:hAnsi="Times New Roman"/>
          <w:i/>
          <w:sz w:val="20"/>
        </w:rPr>
        <w:t>Stockholder Nomination of Directors</w:t>
      </w:r>
      <w:r>
        <w:rPr>
          <w:rFonts w:ascii="Times New Roman" w:hAnsi="Times New Roman"/>
          <w:sz w:val="20"/>
        </w:rPr>
        <w:t xml:space="preserve">. Our amended and restated bylaws provide that a stockholder must notify us in writing of any stockholder nomination of a director not earlier than the 120th day and not later than the 90th day prior to the first anniversary of the preceding year’s annual meeting; provided, that if the date of the annual meeting is advanced by more than 30 days or delayed by more than 60 days from such anniversary date, notice by the stockholder to be timely must be so delivered not earlier than the 120th day prior to the date of such annual meeting and not later than the later of (x) the 90th day prior to the date of such meeting and (y) the tenth day following the day on which public announcement of the date of such annual meeting is first made by us. </w:t>
      </w:r>
    </w:p>
    <w:p>
      <w:pPr>
        <w:pStyle w:val="TextBody"/>
        <w:bidi w:val="0"/>
        <w:spacing w:before="240" w:after="0"/>
        <w:jc w:val="left"/>
        <w:rPr>
          <w:rFonts w:ascii="Times New Roman" w:hAnsi="Times New Roman"/>
          <w:sz w:val="20"/>
        </w:rPr>
      </w:pPr>
      <w:r>
        <w:rPr>
          <w:rFonts w:ascii="Times New Roman" w:hAnsi="Times New Roman"/>
          <w:i/>
          <w:sz w:val="20"/>
        </w:rPr>
        <w:t>No Action By Written Consent</w:t>
      </w:r>
      <w:r>
        <w:rPr>
          <w:rFonts w:ascii="Times New Roman" w:hAnsi="Times New Roman"/>
          <w:sz w:val="20"/>
        </w:rPr>
        <w:t xml:space="preserve">. Our restated certificate of incorporation provides that our stockholders may not act by written consent and may only act at duly called meetings of stockholders. </w:t>
      </w:r>
    </w:p>
    <w:p>
      <w:pPr>
        <w:pStyle w:val="TextBody"/>
        <w:bidi w:val="0"/>
        <w:spacing w:before="240" w:after="0"/>
        <w:jc w:val="left"/>
        <w:rPr>
          <w:rFonts w:ascii="Times New Roman" w:hAnsi="Times New Roman"/>
          <w:sz w:val="20"/>
        </w:rPr>
      </w:pPr>
      <w:r>
        <w:rPr>
          <w:rFonts w:ascii="Times New Roman" w:hAnsi="Times New Roman"/>
          <w:i/>
          <w:sz w:val="20"/>
        </w:rPr>
        <w:t xml:space="preserve">Undesignated Preferred Stock. </w:t>
      </w:r>
      <w:r>
        <w:rPr>
          <w:rFonts w:ascii="Times New Roman" w:hAnsi="Times New Roman"/>
          <w:sz w:val="20"/>
        </w:rPr>
        <w:t xml:space="preserve">As discussed above, our board of directors has the ability to issue preferred stock with voting or other rights or preferences that could impede the success of any attempt to change control of our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 xml:space="preserve">Delaware Business Combination Statute. </w:t>
      </w:r>
      <w:r>
        <w:rPr>
          <w:rFonts w:ascii="Times New Roman" w:hAnsi="Times New Roman"/>
          <w:sz w:val="20"/>
        </w:rPr>
        <w:t xml:space="preserve">We are subject to Section 203 of the DGCL, or Section 203, which prohibits a Delaware corporation from engaging in business combinations with an interested stockholder. An interested stockholder is generally defined as an entity or person beneficially owning 15% or more of the outstanding voting stock of the corporation or any entity or person affiliated with or controlling or controlled by such entity or person. Section 203 provides that an interested stockholder may not engage in business combinations with the corporation for a period of three years after the date that such stockholder became an interested stockholder, with the following exceptions: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such date, the board of directors of the corporation approved either the business combination or the transaction that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business combinations to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lease, transfer, pledge or other disposition of 10% or more of the assets of the corporation to or with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exceptions, any transaction that results in the issuance or transfer by the corporation of any stock of the corporation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involving the corporation that has the effect of increasing the proportionate share of the stock or any class or series of the corporation beneficially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loss, advances, guarantees, pledges or other financial benefits by or through the corporation. </w:t>
            </w:r>
          </w:p>
        </w:tc>
      </w:tr>
    </w:tbl>
    <w:p>
      <w:pPr>
        <w:pStyle w:val="TextBody"/>
        <w:bidi w:val="0"/>
        <w:spacing w:before="240" w:after="0"/>
        <w:jc w:val="left"/>
        <w:rPr>
          <w:rFonts w:ascii="Times New Roman" w:hAnsi="Times New Roman"/>
          <w:sz w:val="20"/>
        </w:rPr>
      </w:pPr>
      <w:r>
        <w:rPr>
          <w:rFonts w:ascii="Times New Roman" w:hAnsi="Times New Roman"/>
          <w:i/>
          <w:sz w:val="20"/>
        </w:rPr>
        <w:t>Exclusive forum provision</w:t>
      </w:r>
      <w:r>
        <w:rPr>
          <w:rFonts w:ascii="Times New Roman" w:hAnsi="Times New Roman"/>
          <w:sz w:val="20"/>
        </w:rPr>
        <w:t xml:space="preserve">. Our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the following types of proceedings: (1) any derivative action or proceeding brought on behalf of our company, (2) any action asserting a claim of breach of a fiduciary duty owed by any of our directors, officers, employees or stockholders to our company or our stockholders, (3) any action asserting a claim arising pursuant to any provision of the General Corporation Law of the State of Delaware or as to which the General Corporation Law of the State of Delaware confers jurisdiction on the Court of Chancery of the State of Delaware, or (4) any action asserting a claim arising pursuant to any provision of our restated certificate of incorporation or amended and restated bylaws (in each case, as they may be amended from time to time) or governed by the internal affairs doctrine. These choice of forum provisions will not apply to suits brought to enforce a duty or liability created by the Exchange Act. Furthermore, Section 22 of the Securities Act creates concurrent jurisdiction for federal and state courts over all such Securities Act actions. </w:t>
      </w:r>
    </w:p>
    <w:p>
      <w:pPr>
        <w:pStyle w:val="TextBody"/>
        <w:bidi w:val="0"/>
        <w:spacing w:before="240" w:after="0"/>
        <w:jc w:val="left"/>
        <w:rPr>
          <w:rFonts w:ascii="Times New Roman" w:hAnsi="Times New Roman"/>
          <w:sz w:val="20"/>
        </w:rPr>
      </w:pPr>
      <w:r>
        <w:rPr>
          <w:rFonts w:ascii="Times New Roman" w:hAnsi="Times New Roman"/>
          <w:sz w:val="20"/>
        </w:rPr>
        <w:t xml:space="preserve">Accordingly, both state and federal courts have jurisdiction to entertain such claims. To prevent having to litigate claims in multiple jurisdictions and the threat of inconsistent or contrary rulings by different courts, among other considerations, our certificate of incorporation provides that, unless we consent in writing to the selection of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alternative forum, the federal district courts of the United States of America shall, to the fullest extent permitted by law, be the sole and exclusive forum for the resolution of any claims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a98164_10"/>
      <w:bookmarkEnd w:id="24"/>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to purchase common stock, preferred stock or debt securities. We may offer warrants separately or together with one or more additional warrants, common stock, preferred stock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specific designation and aggregate number of, and the offering price at which we will issue,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begin and the date on which that right will expire or, if you may not continuously exercise the warrants throughout that period, the specific date or dates on which you may exercise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are to be sold separately or with other securities as parts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issued in definitive or global form or in any combination of these forms, although, in any case, the form of a warrant included in a unit will correspond to the form of the unit and of any security included in that unit;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material U.S. federal income tax consequences;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warrant agent for the warrants and of any other depositaries, execution or paying agents, transfer agents, registrars or other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proposed listing, if any, of the warrants or any securities purchasable upon exercise of the warrants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any equity securities purchasable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aggregate principal amount, currency and terms of any debt securities that may be purchased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preferred stock with which the warrants are issued and the number of warrants issued with each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any warrants issued as part of a unit and the related debt securities, preferred stock or common stock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or preferred stock purchasable upon exercise of a warrant and the price at which those shares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anti-dilution provisions of, and other provisions for changes to or adjustment in the exercise price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call provisions;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or exercise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a98164_11"/>
      <w:bookmarkEnd w:id="25"/>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consisting of one or more of the other securities described in this prospectus in any combination, as described in the applicable prospectus supplement. We may issue units in one or more series, which will be described in the applicable prospectus supplement. The applicable prospectus supplement will also describe the following terms of any units: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the terms of the units and of the securities constituting the units, including whether and under what circumstances the securities comprising the units may be traded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any unit agent for the units, if applicable, and of any other depositaries, execution or paying agents, transfer agents, registrars or other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governing unit agreement,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provisions for the issuance, payment, settlement, transfer or exchange of the units or of the debt securities, common stock, preferred stock or warrants constituting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material U.S. federal income tax consequences.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a98164_12"/>
      <w:bookmarkEnd w:id="26"/>
      <w:r>
        <w:rPr>
          <w:rFonts w:ascii="Times New Roman" w:hAnsi="Times New Roman"/>
          <w:b/>
          <w:sz w:val="20"/>
        </w:rPr>
        <w:t xml:space="preserve">FORMS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debt security, unit and warrant will be represented either by a certificate issued in definitive form to a particular investor or by one or more global securities representing the entire issuance of securities. Unless the applicable prospectus supplement provides otherwise, certificated securities will be issued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 </w:t>
      </w:r>
    </w:p>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the debt securities of a particular series, units and warrants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 </w:t>
      </w:r>
    </w:p>
    <w:p>
      <w:pPr>
        <w:pStyle w:val="TextBody"/>
        <w:bidi w:val="0"/>
        <w:spacing w:before="240" w:after="0"/>
        <w:jc w:val="left"/>
        <w:rPr>
          <w:rFonts w:ascii="Times New Roman" w:hAnsi="Times New Roman"/>
          <w:sz w:val="20"/>
        </w:rPr>
      </w:pPr>
      <w:r>
        <w:rPr>
          <w:rFonts w:ascii="Times New Roman" w:hAnsi="Times New Roman"/>
          <w:sz w:val="20"/>
        </w:rPr>
        <w:t xml:space="preserve">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 </w:t>
      </w:r>
    </w:p>
    <w:p>
      <w:pPr>
        <w:pStyle w:val="TextBody"/>
        <w:bidi w:val="0"/>
        <w:spacing w:before="240" w:after="0"/>
        <w:jc w:val="left"/>
        <w:rPr>
          <w:rFonts w:ascii="Times New Roman" w:hAnsi="Times New Roman"/>
          <w:sz w:val="20"/>
        </w:rPr>
      </w:pPr>
      <w:r>
        <w:rPr>
          <w:rFonts w:ascii="Times New Roman" w:hAnsi="Times New Roman"/>
          <w:sz w:val="20"/>
        </w:rPr>
        <w:t xml:space="preserve">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warrant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unit agreement or warrant agreement.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applicable indenture, unit agreement or warrant agreement. We understand that under existing industry practices, if we request any action of holders or if an owner of a beneficial interest in a global security desires to give or take any action that a holder is entitled to give or take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applicable indenture, unit agreement or warrant agreement,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Principal, premium, if any, and interest payments on debt securities, and any payments to holders with respect to warrants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 </w:t>
      </w:r>
    </w:p>
    <w:p>
      <w:pPr>
        <w:pStyle w:val="TextBody"/>
        <w:bidi w:val="0"/>
        <w:spacing w:before="240" w:after="0"/>
        <w:jc w:val="left"/>
        <w:rPr>
          <w:rFonts w:ascii="Times New Roman" w:hAnsi="Times New Roman"/>
          <w:sz w:val="20"/>
        </w:rPr>
      </w:pPr>
      <w:r>
        <w:rPr>
          <w:rFonts w:ascii="Times New Roman" w:hAnsi="Times New Roman"/>
          <w:sz w:val="20"/>
        </w:rPr>
        <w:t xml:space="preserve">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a98164_13"/>
      <w:bookmarkEnd w:id="27"/>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the securities may be effected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prospectus supplement will describe the method of distribution of the securities and any applicable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with respect to the securities of a particular series will describe the terms of the offering of the securities,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agent or any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or purchase price and the proceeds we will receive from the sale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re-allowed or paid to the agent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items constituting underwriting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exchanges on which the securities will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 </w:t>
      </w:r>
    </w:p>
    <w:p>
      <w:pPr>
        <w:pStyle w:val="TextBody"/>
        <w:bidi w:val="0"/>
        <w:spacing w:before="240" w:after="0"/>
        <w:jc w:val="left"/>
        <w:rPr>
          <w:rFonts w:ascii="Times New Roman" w:hAnsi="Times New Roman"/>
          <w:sz w:val="20"/>
        </w:rPr>
      </w:pPr>
      <w:r>
        <w:rPr>
          <w:rFonts w:ascii="Times New Roman" w:hAnsi="Times New Roman"/>
          <w:sz w:val="20"/>
        </w:rPr>
        <w:t xml:space="preserve">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 </w:t>
      </w:r>
    </w:p>
    <w:p>
      <w:pPr>
        <w:pStyle w:val="TextBody"/>
        <w:bidi w:val="0"/>
        <w:spacing w:before="240" w:after="0"/>
        <w:jc w:val="left"/>
        <w:rPr>
          <w:rFonts w:ascii="Times New Roman" w:hAnsi="Times New Roman"/>
          <w:sz w:val="20"/>
        </w:rPr>
      </w:pPr>
      <w:r>
        <w:rPr>
          <w:rFonts w:ascii="Times New Roman" w:hAnsi="Times New Roman"/>
          <w:sz w:val="20"/>
        </w:rPr>
        <w:t xml:space="preserve">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by an institution of the securities covered under that contract shall not at the time of delivery be prohibited under the laws of the jurisdiction to which that institution is subject;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 In February 2023, Rule 15c6-1 of the Exchange Act was amended to require, effective May 28, 2024, trades in the secondary market to settle in one business day, unless the parties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such trade expressly agree otherwise or unless an exception applies. Therefore, for any securities offered under this prospectus on or after May 28, 2024, the same process described in this paragraph will apply, except that settlement may occur on the first business day that is also a trading day following the trade date for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new issues of securities and may have no established trading market. The securities may or may not be listed on a national securities exchange. We can make no assurance as to the liquidity of or the existence of trading markets for any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a98164_14"/>
      <w:bookmarkEnd w:id="28"/>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prospectus supplement indicates otherwise, the validity of the securities in respect of which this prospectus is being delivered will be passed upon by Wilmer Cutler Pickering Hale and Dorr LLP. </w:t>
      </w:r>
    </w:p>
    <w:p>
      <w:pPr>
        <w:pStyle w:val="TextBody"/>
        <w:bidi w:val="0"/>
        <w:spacing w:before="480" w:after="0"/>
        <w:jc w:val="center"/>
        <w:rPr>
          <w:rFonts w:ascii="Times New Roman" w:hAnsi="Times New Roman"/>
          <w:b/>
          <w:sz w:val="20"/>
        </w:rPr>
      </w:pPr>
      <w:bookmarkStart w:id="29" w:name="toca98164_15"/>
      <w:bookmarkEnd w:id="29"/>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Dyne Therapeutics, Inc.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i/>
          <w:sz w:val="36"/>
        </w:rPr>
      </w:pPr>
      <w:r>
        <w:rPr>
          <w:rFonts w:ascii="Times New Roman" w:hAnsi="Times New Roman"/>
          <w:i/>
          <w:sz w:val="36"/>
        </w:rPr>
        <w:t xml:space="preserve">$300,000,000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2037715" cy="63246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23"/>
                    <a:stretch>
                      <a:fillRect/>
                    </a:stretch>
                  </pic:blipFill>
                  <pic:spPr bwMode="auto">
                    <a:xfrm>
                      <a:off x="0" y="0"/>
                      <a:ext cx="2037715" cy="632460"/>
                    </a:xfrm>
                    <a:prstGeom prst="rect">
                      <a:avLst/>
                    </a:prstGeom>
                  </pic:spPr>
                </pic:pic>
              </a:graphicData>
            </a:graphic>
          </wp:inline>
        </w:drawing>
      </w:r>
      <w:r>
        <w:rPr/>
        <w:t xml:space="preserve"> </w:t>
      </w:r>
    </w:p>
    <w:p>
      <w:pPr>
        <w:pStyle w:val="TextBody"/>
        <w:bidi w:val="0"/>
        <w:spacing w:before="1440" w:after="0"/>
        <w:jc w:val="center"/>
        <w:rPr>
          <w:rFonts w:ascii="Times New Roman" w:hAnsi="Times New Roman"/>
          <w:i/>
          <w:sz w:val="24"/>
        </w:rPr>
      </w:pPr>
      <w:r>
        <w:rPr>
          <w:rFonts w:ascii="Times New Roman" w:hAnsi="Times New Roman"/>
          <w:i/>
          <w:sz w:val="24"/>
        </w:rPr>
        <w:t xml:space="preserve">Common Stock </w:t>
      </w:r>
    </w:p>
    <w:p>
      <w:pPr>
        <w:pStyle w:val="TextBody"/>
        <w:bidi w:val="0"/>
        <w:spacing w:before="1440" w:after="0"/>
        <w:jc w:val="center"/>
        <w:rPr>
          <w:rFonts w:ascii="Times New Roman" w:hAnsi="Times New Roman"/>
          <w:i/>
          <w:sz w:val="24"/>
        </w:rPr>
      </w:pPr>
      <w:r>
        <w:rPr>
          <w:rFonts w:ascii="Times New Roman" w:hAnsi="Times New Roman"/>
          <w:i/>
          <w:sz w:val="24"/>
        </w:rPr>
        <w:t xml:space="preserve">PROSPECTUS SUPPLEMENT </w:t>
      </w:r>
    </w:p>
    <w:p>
      <w:pPr>
        <w:pStyle w:val="TextBody"/>
        <w:bidi w:val="0"/>
        <w:spacing w:before="1200" w:after="0"/>
        <w:jc w:val="center"/>
        <w:rPr>
          <w:rFonts w:ascii="Times New Roman" w:hAnsi="Times New Roman"/>
          <w:i/>
          <w:sz w:val="20"/>
        </w:rPr>
      </w:pPr>
      <w:r>
        <w:rPr>
          <w:rFonts w:ascii="Times New Roman" w:hAnsi="Times New Roman"/>
          <w:i/>
          <w:sz w:val="20"/>
        </w:rPr>
        <w:t xml:space="preserve">Joint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74"/>
        <w:gridCol w:w="101"/>
        <w:gridCol w:w="3266"/>
        <w:gridCol w:w="101"/>
        <w:gridCol w:w="3063"/>
      </w:tblGrid>
      <w:tr>
        <w:trPr/>
        <w:tc>
          <w:tcPr>
            <w:tcW w:w="367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63" w:type="dxa"/>
            <w:tcBorders/>
            <w:vAlign w:val="center"/>
          </w:tcPr>
          <w:p>
            <w:pPr>
              <w:pStyle w:val="TableContents"/>
              <w:bidi w:val="0"/>
              <w:spacing w:before="0" w:after="283"/>
              <w:jc w:val="left"/>
              <w:rPr>
                <w:sz w:val="4"/>
                <w:szCs w:val="4"/>
              </w:rPr>
            </w:pPr>
            <w:r>
              <w:rPr>
                <w:sz w:val="4"/>
                <w:szCs w:val="4"/>
              </w:rPr>
            </w:r>
          </w:p>
        </w:tc>
      </w:tr>
      <w:tr>
        <w:trPr/>
        <w:tc>
          <w:tcPr>
            <w:tcW w:w="3674" w:type="dxa"/>
            <w:tcBorders/>
          </w:tcPr>
          <w:p>
            <w:pPr>
              <w:pStyle w:val="TableContents"/>
              <w:bidi w:val="0"/>
              <w:spacing w:before="0" w:after="283"/>
              <w:jc w:val="left"/>
              <w:rPr>
                <w:i/>
              </w:rPr>
            </w:pPr>
            <w:r>
              <w:rPr>
                <w:i/>
              </w:rPr>
              <w:t>Morgan Stanley</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right"/>
              <w:rPr>
                <w:i/>
              </w:rPr>
            </w:pPr>
            <w:r>
              <w:rPr>
                <w:i/>
              </w:rPr>
              <w:t>Jefferies</w:t>
            </w:r>
          </w:p>
        </w:tc>
        <w:tc>
          <w:tcPr>
            <w:tcW w:w="101" w:type="dxa"/>
            <w:tcBorders/>
            <w:vAlign w:val="bottom"/>
          </w:tcPr>
          <w:p>
            <w:pPr>
              <w:pStyle w:val="TableContents"/>
              <w:bidi w:val="0"/>
              <w:spacing w:before="0" w:after="283"/>
              <w:jc w:val="left"/>
              <w:rPr/>
            </w:pPr>
            <w:r>
              <w:rPr/>
              <w:t> </w:t>
            </w:r>
          </w:p>
        </w:tc>
        <w:tc>
          <w:tcPr>
            <w:tcW w:w="3063" w:type="dxa"/>
            <w:tcBorders/>
          </w:tcPr>
          <w:p>
            <w:pPr>
              <w:pStyle w:val="TableContents"/>
              <w:bidi w:val="0"/>
              <w:spacing w:before="0" w:after="283"/>
              <w:jc w:val="right"/>
              <w:rPr>
                <w:i/>
              </w:rPr>
            </w:pPr>
            <w:r>
              <w:rPr>
                <w:i/>
              </w:rPr>
              <w:t>Evercore ISI</w:t>
            </w:r>
          </w:p>
        </w:tc>
      </w:tr>
    </w:tbl>
    <w:tbl>
      <w:tblPr>
        <w:tblW w:w="5000" w:type="pct"/>
        <w:jc w:val="center"/>
        <w:tblInd w:w="0" w:type="dxa"/>
        <w:tblLayout w:type="fixed"/>
        <w:tblCellMar>
          <w:top w:w="0" w:type="dxa"/>
          <w:left w:w="0" w:type="dxa"/>
          <w:bottom w:w="0" w:type="dxa"/>
          <w:right w:w="0" w:type="dxa"/>
        </w:tblCellMar>
      </w:tblPr>
      <w:tblGrid>
        <w:gridCol w:w="5001"/>
        <w:gridCol w:w="101"/>
        <w:gridCol w:w="5103"/>
      </w:tblGrid>
      <w:tr>
        <w:trPr/>
        <w:tc>
          <w:tcPr>
            <w:tcW w:w="500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10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001" w:type="dxa"/>
            <w:tcBorders/>
            <w:vAlign w:val="center"/>
          </w:tcPr>
          <w:p>
            <w:pPr>
              <w:pStyle w:val="TableContents"/>
              <w:bidi w:val="0"/>
              <w:spacing w:before="0" w:after="283"/>
              <w:jc w:val="left"/>
              <w:rPr>
                <w:sz w:val="4"/>
                <w:szCs w:val="4"/>
              </w:rPr>
            </w:pPr>
            <w:r>
              <w:rPr>
                <w:sz w:val="4"/>
                <w:szCs w:val="4"/>
              </w:rPr>
            </w:r>
          </w:p>
        </w:tc>
        <w:tc>
          <w:tcPr>
            <w:tcW w:w="5204" w:type="dxa"/>
            <w:gridSpan w:val="2"/>
            <w:tcBorders/>
            <w:vAlign w:val="center"/>
          </w:tcPr>
          <w:p>
            <w:pPr>
              <w:pStyle w:val="TableContents"/>
              <w:bidi w:val="0"/>
              <w:spacing w:before="0" w:after="283"/>
              <w:jc w:val="left"/>
              <w:rPr>
                <w:sz w:val="4"/>
                <w:szCs w:val="4"/>
              </w:rPr>
            </w:pPr>
            <w:r>
              <w:rPr>
                <w:sz w:val="4"/>
                <w:szCs w:val="4"/>
              </w:rPr>
            </w:r>
          </w:p>
        </w:tc>
      </w:tr>
      <w:tr>
        <w:trPr/>
        <w:tc>
          <w:tcPr>
            <w:tcW w:w="5001" w:type="dxa"/>
            <w:tcBorders/>
          </w:tcPr>
          <w:p>
            <w:pPr>
              <w:pStyle w:val="TableContents"/>
              <w:bidi w:val="0"/>
              <w:spacing w:before="0" w:after="283"/>
              <w:jc w:val="left"/>
              <w:rPr>
                <w:i/>
              </w:rPr>
            </w:pPr>
            <w:r>
              <w:rPr>
                <w:i/>
              </w:rPr>
              <w:t>LifeSci Capital</w:t>
            </w:r>
          </w:p>
        </w:tc>
        <w:tc>
          <w:tcPr>
            <w:tcW w:w="101" w:type="dxa"/>
            <w:tcBorders/>
            <w:vAlign w:val="bottom"/>
          </w:tcPr>
          <w:p>
            <w:pPr>
              <w:pStyle w:val="TableContents"/>
              <w:bidi w:val="0"/>
              <w:spacing w:before="0" w:after="283"/>
              <w:jc w:val="left"/>
              <w:rPr/>
            </w:pPr>
            <w:r>
              <w:rPr/>
              <w:t> </w:t>
            </w:r>
          </w:p>
        </w:tc>
        <w:tc>
          <w:tcPr>
            <w:tcW w:w="5103" w:type="dxa"/>
            <w:tcBorders/>
          </w:tcPr>
          <w:p>
            <w:pPr>
              <w:pStyle w:val="TableContents"/>
              <w:bidi w:val="0"/>
              <w:spacing w:before="0" w:after="283"/>
              <w:jc w:val="right"/>
              <w:rPr>
                <w:i/>
              </w:rPr>
            </w:pPr>
            <w:r>
              <w:rPr>
                <w:i/>
              </w:rPr>
              <w:t>Raymond James</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Lead Manager </w:t>
      </w:r>
    </w:p>
    <w:p>
      <w:pPr>
        <w:pStyle w:val="TextBody"/>
        <w:bidi w:val="0"/>
        <w:spacing w:before="120" w:after="0"/>
        <w:jc w:val="center"/>
        <w:rPr>
          <w:rFonts w:ascii="Times New Roman" w:hAnsi="Times New Roman"/>
          <w:i/>
          <w:sz w:val="32"/>
        </w:rPr>
      </w:pPr>
      <w:r>
        <w:rPr>
          <w:rFonts w:ascii="Times New Roman" w:hAnsi="Times New Roman"/>
          <w:i/>
          <w:sz w:val="32"/>
        </w:rPr>
        <w:t xml:space="preserve">Jones </w:t>
      </w:r>
    </w:p>
    <w:p>
      <w:pPr>
        <w:pStyle w:val="TextBody"/>
        <w:bidi w:val="0"/>
        <w:spacing w:before="720" w:after="0"/>
        <w:jc w:val="both"/>
        <w:rPr>
          <w:rFonts w:ascii="Times New Roman" w:hAnsi="Times New Roman"/>
          <w:i/>
          <w:sz w:val="20"/>
        </w:rPr>
      </w:pPr>
      <w:r>
        <w:rPr>
          <w:rFonts w:ascii="Times New Roman" w:hAnsi="Times New Roman"/>
          <w:i/>
          <w:sz w:val="20"/>
        </w:rPr>
        <w:t xml:space="preserve">July ,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 w:name="Bodoni M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818794/000119312526084178/dyn-20251231.htm" TargetMode="External"/><Relationship Id="rId4" Type="http://schemas.openxmlformats.org/officeDocument/2006/relationships/hyperlink" Target="http://www.sec.gov/Archives/edgar/data/../../../ix?doc=/Archives/edgar/data/0001818794/000119312526173655/dyn-20260422.htm" TargetMode="External"/><Relationship Id="rId5" Type="http://schemas.openxmlformats.org/officeDocument/2006/relationships/hyperlink" Target="http://www.sec.gov/Archives/edgar/data/../../../ix?doc=/Archives/edgar/data/0001818794/000119312526215702/dyn-20260331.htm" TargetMode="External"/><Relationship Id="rId6" Type="http://schemas.openxmlformats.org/officeDocument/2006/relationships/hyperlink" Target="http://www.sec.gov/Archives/edgar/data/../../../ix?doc=/Archives/edgar/data/0001818794/000119312526254597/dyn-20260603.htm" TargetMode="External"/><Relationship Id="rId7" Type="http://schemas.openxmlformats.org/officeDocument/2006/relationships/hyperlink" Target="http://www.sec.gov/Archives/edgar/data/../../../ix?doc=/Archives/edgar/data/0001818794/000119312526261696/dyn-20260605.htm" TargetMode="External"/><Relationship Id="rId8" Type="http://schemas.openxmlformats.org/officeDocument/2006/relationships/hyperlink" Target="http://www.sec.gov/Archives/edgar/data/../../../ix?doc=/Archives/edgar/data/0001818794/000181879426000003/dyn-20260616.htm" TargetMode="External"/><Relationship Id="rId9" Type="http://schemas.openxmlformats.org/officeDocument/2006/relationships/hyperlink" Target="http://www.sec.gov/Archives/edgar/data/../../../ix?doc=/Archives/edgar/data/0001818794/000181879426000005/dyn-20260622.htm" TargetMode="External"/><Relationship Id="rId10" Type="http://schemas.openxmlformats.org/officeDocument/2006/relationships/hyperlink" Target="http://www.sec.gov/Archives/edgar/data/../../../ix?doc=/Archives/edgar/data/1818794/000119312526308343/dyn-20260720.htm" TargetMode="External"/><Relationship Id="rId11" Type="http://schemas.openxmlformats.org/officeDocument/2006/relationships/hyperlink" Target="http://www.sec.gov/Archives/edgar/data/1818794/000119312520243958/d68692d8a12b.htm" TargetMode="External"/><Relationship Id="rId12" Type="http://schemas.openxmlformats.org/officeDocument/2006/relationships/hyperlink" Target="http://www.sec.gov/Archives/edgar/data/1818794/000156459021010726/dyn-ex43_148.htm" TargetMode="External"/><Relationship Id="rId13" Type="http://schemas.openxmlformats.org/officeDocument/2006/relationships/hyperlink" Target="http://www.sec.gov/Archives/edgar/data/1818794/000156459021010726/dyn-10k_20201231.htm" TargetMode="External"/><Relationship Id="rId14" Type="http://schemas.openxmlformats.org/officeDocument/2006/relationships/image" Target="media/image1.jpeg"/><Relationship Id="rId15" Type="http://schemas.openxmlformats.org/officeDocument/2006/relationships/hyperlink" Target="http://www.sec.gov/Archives/edgar/data/../../../ix?doc=/Archives/edgar/data/1818794/000095017024025402/dyn-20231231.htm" TargetMode="External"/><Relationship Id="rId16" Type="http://schemas.openxmlformats.org/officeDocument/2006/relationships/hyperlink" Target="http://www.sec.gov/Archives/edgar/data/1818794/000095017023012196/2023_proxy.htm" TargetMode="External"/><Relationship Id="rId17" Type="http://schemas.openxmlformats.org/officeDocument/2006/relationships/hyperlink" Target="http://www.sec.gov/Archives/edgar/data/../../../ix?doc=/Archives/edgar/data/1818794/000119312524000991/d586587d8k.htm" TargetMode="External"/><Relationship Id="rId18" Type="http://schemas.openxmlformats.org/officeDocument/2006/relationships/hyperlink" Target="http://www.sec.gov/Archives/edgar/data/../../../ix?doc=/Archives/edgar/data/1818794/000119312524002542/d687857d8k.htm" TargetMode="External"/><Relationship Id="rId19" Type="http://schemas.openxmlformats.org/officeDocument/2006/relationships/hyperlink" Target="http://www.sec.gov/Archives/edgar/data/../../../ix?doc=/Archives/edgar/data/1818794/000119312524002892/d110504d8k.htm" TargetMode="External"/><Relationship Id="rId20" Type="http://schemas.openxmlformats.org/officeDocument/2006/relationships/hyperlink" Target="http://www.sec.gov/Archives/edgar/data/1818794/000119312520243958/d68692d8a12b.htm" TargetMode="External"/><Relationship Id="rId21" Type="http://schemas.openxmlformats.org/officeDocument/2006/relationships/hyperlink" Target="http://www.sec.gov/Archives/edgar/data/1818794/000156459021010726/dyn-ex43_148.htm" TargetMode="External"/><Relationship Id="rId22" Type="http://schemas.openxmlformats.org/officeDocument/2006/relationships/hyperlink" Target="http://www.sec.gov/Archives/edgar/data/1818794/000156459021010726/dyn-10k_20201231.htm" TargetMode="External"/><Relationship Id="rId23" Type="http://schemas.openxmlformats.org/officeDocument/2006/relationships/image" Target="media/image1.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82</Pages>
  <Words>34625</Words>
  <Characters>182497</Characters>
  <CharactersWithSpaces>217936</CharactersWithSpaces>
  <Paragraphs>2268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