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8164d424b5.htm"/>
        <w:bookmarkStart w:id="1" w:name="ksd9816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333-277655 </w:t>
      </w:r>
    </w:p>
    <w:p>
      <w:pPr>
        <w:pStyle w:val="TextBody"/>
        <w:bidi w:val="0"/>
        <w:spacing w:before="0" w:after="0"/>
        <w:jc w:val="left"/>
        <w:rPr/>
      </w:pPr>
      <w:r>
        <w:rPr/>
        <w:t> </w:t>
      </w:r>
    </w:p>
    <w:p>
      <w:pPr>
        <w:pStyle w:val="TextBody"/>
        <w:bidi w:val="0"/>
        <w:spacing w:before="0" w:after="0"/>
        <w:jc w:val="left"/>
        <w:rPr>
          <w:rFonts w:ascii="Times New Roman" w:hAnsi="Times New Roman"/>
          <w:i/>
          <w:sz w:val="24"/>
        </w:rPr>
      </w:pPr>
      <w:r>
        <w:rPr>
          <w:rFonts w:ascii="Times New Roman" w:hAnsi="Times New Roman"/>
          <w:i/>
          <w:sz w:val="24"/>
        </w:rPr>
        <w:t xml:space="preserve">PROSPECTUS SUPPLEMENT </w:t>
      </w:r>
    </w:p>
    <w:p>
      <w:pPr>
        <w:pStyle w:val="TextBody"/>
        <w:bidi w:val="0"/>
        <w:spacing w:before="0" w:after="0"/>
        <w:jc w:val="left"/>
        <w:rPr>
          <w:rFonts w:ascii="Times New Roman" w:hAnsi="Times New Roman"/>
          <w:i/>
          <w:sz w:val="24"/>
        </w:rPr>
      </w:pPr>
      <w:r>
        <w:rPr>
          <w:rFonts w:ascii="Times New Roman" w:hAnsi="Times New Roman"/>
          <w:i/>
          <w:sz w:val="24"/>
        </w:rPr>
        <w:t xml:space="preserve">(To Prospectus dated March 5, 2024) </w:t>
      </w:r>
    </w:p>
    <w:p>
      <w:pPr>
        <w:pStyle w:val="TextBody"/>
        <w:bidi w:val="0"/>
        <w:spacing w:before="320" w:after="0"/>
        <w:jc w:val="center"/>
        <w:rPr>
          <w:rFonts w:ascii="Times New Roman" w:hAnsi="Times New Roman"/>
          <w:i/>
          <w:sz w:val="36"/>
        </w:rPr>
      </w:pPr>
      <w:r>
        <w:rPr>
          <w:rFonts w:ascii="Times New Roman" w:hAnsi="Times New Roman"/>
          <w:i/>
          <w:sz w:val="36"/>
        </w:rPr>
        <w:t xml:space="preserve">18,300,000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7715" cy="6324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4"/>
        </w:rPr>
      </w:pPr>
      <w:r>
        <w:rPr>
          <w:rFonts w:ascii="Times New Roman" w:hAnsi="Times New Roman"/>
          <w:i/>
          <w:sz w:val="24"/>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Bodoni MT" w:hAnsi="Bodoni MT"/>
          <w:b/>
          <w:i/>
          <w:sz w:val="20"/>
        </w:rPr>
      </w:pPr>
      <w:r>
        <w:rPr>
          <w:rFonts w:ascii="Bodoni MT" w:hAnsi="Bodoni MT"/>
          <w:b/>
          <w:i/>
          <w:sz w:val="20"/>
        </w:rPr>
        <w:t xml:space="preserve">We are offering 18,300,000 shares of our common stock. </w:t>
      </w:r>
    </w:p>
    <w:p>
      <w:pPr>
        <w:pStyle w:val="TextBody"/>
        <w:bidi w:val="0"/>
        <w:spacing w:before="240" w:after="0"/>
        <w:jc w:val="both"/>
        <w:rPr>
          <w:rFonts w:ascii="Bodoni MT" w:hAnsi="Bodoni MT"/>
          <w:b/>
          <w:i/>
          <w:sz w:val="20"/>
        </w:rPr>
      </w:pPr>
      <w:r>
        <w:rPr>
          <w:rFonts w:ascii="Bodoni MT" w:hAnsi="Bodoni MT"/>
          <w:b/>
          <w:i/>
          <w:sz w:val="20"/>
        </w:rPr>
        <w:t xml:space="preserve">Our common stock is listed on The Nasdaq Global Select Market under the symbol “DYN.” The last reported sale price of our common stock on The Nasdaq Global Select Market on July 21, 2026 was $23.83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pPr>
      <w:r>
        <w:rPr>
          <w:rFonts w:ascii="Bodoni MT" w:hAnsi="Bodoni MT"/>
          <w:b/>
          <w:i/>
          <w:sz w:val="20"/>
        </w:rPr>
        <w:t>Investing in our common stock involves a high degree of risk. See “</w:t>
      </w:r>
      <w:hyperlink w:anchor="supptoc98164_4">
        <w:r>
          <w:rPr>
            <w:rStyle w:val="InternetLink"/>
            <w:rFonts w:ascii="Bodoni MT" w:hAnsi="Bodoni MT"/>
            <w:b/>
            <w:i/>
            <w:sz w:val="20"/>
          </w:rPr>
          <w:t>Risk Factors</w:t>
        </w:r>
      </w:hyperlink>
      <w:r>
        <w:rPr>
          <w:rFonts w:ascii="Bodoni MT" w:hAnsi="Bodoni MT"/>
          <w:b/>
          <w:i/>
          <w:sz w:val="20"/>
        </w:rPr>
        <w:t xml:space="preserve">” beginning on page S-9 of this prospectus supplement and in the documents incorporated by reference into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7"/>
        <w:gridCol w:w="764"/>
        <w:gridCol w:w="183"/>
        <w:gridCol w:w="811"/>
        <w:gridCol w:w="60"/>
        <w:gridCol w:w="764"/>
        <w:gridCol w:w="159"/>
        <w:gridCol w:w="1743"/>
        <w:gridCol w:w="64"/>
      </w:tblGrid>
      <w:tr>
        <w:trPr/>
        <w:tc>
          <w:tcPr>
            <w:tcW w:w="5657"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 Share</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left"/>
              <w:rPr/>
            </w:pPr>
            <w:r>
              <w:rPr/>
              <w:t>    </w:t>
            </w:r>
          </w:p>
        </w:tc>
        <w:tc>
          <w:tcPr>
            <w:tcW w:w="1902"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64"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Public offering price</w:t>
            </w:r>
          </w:p>
        </w:tc>
        <w:tc>
          <w:tcPr>
            <w:tcW w:w="76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i/>
              </w:rPr>
            </w:pPr>
            <w:r>
              <w:rPr>
                <w:i/>
              </w:rPr>
              <w:t>$</w:t>
            </w:r>
          </w:p>
        </w:tc>
        <w:tc>
          <w:tcPr>
            <w:tcW w:w="811" w:type="dxa"/>
            <w:tcBorders/>
            <w:shd w:fill="CCEEFF" w:val="clear"/>
            <w:vAlign w:val="bottom"/>
          </w:tcPr>
          <w:p>
            <w:pPr>
              <w:pStyle w:val="TableContents"/>
              <w:bidi w:val="0"/>
              <w:spacing w:before="0" w:after="283"/>
              <w:jc w:val="right"/>
              <w:rPr>
                <w:i/>
              </w:rPr>
            </w:pPr>
            <w:r>
              <w:rPr>
                <w:i/>
              </w:rPr>
              <w:t>20.50</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i/>
              </w:rPr>
            </w:pPr>
            <w:r>
              <w:rPr>
                <w:i/>
              </w:rPr>
              <w:t>$</w:t>
            </w:r>
          </w:p>
        </w:tc>
        <w:tc>
          <w:tcPr>
            <w:tcW w:w="1743" w:type="dxa"/>
            <w:tcBorders/>
            <w:shd w:fill="CCEEFF" w:val="clear"/>
            <w:vAlign w:val="bottom"/>
          </w:tcPr>
          <w:p>
            <w:pPr>
              <w:pStyle w:val="TableContents"/>
              <w:bidi w:val="0"/>
              <w:spacing w:before="0" w:after="283"/>
              <w:jc w:val="right"/>
              <w:rPr>
                <w:i/>
              </w:rPr>
            </w:pPr>
            <w:r>
              <w:rPr>
                <w:i/>
              </w:rPr>
              <w:t>375,150,000.00</w:t>
            </w:r>
          </w:p>
        </w:tc>
        <w:tc>
          <w:tcPr>
            <w:tcW w:w="64"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i/>
                <w:sz w:val="20"/>
              </w:rPr>
            </w:pPr>
            <w:r>
              <w:rPr>
                <w:rFonts w:ascii="Times New Roman" w:hAnsi="Times New Roman"/>
                <w:i/>
                <w:sz w:val="20"/>
              </w:rPr>
              <w:t>Underwriting discounts and commissions(1)</w:t>
            </w:r>
          </w:p>
        </w:tc>
        <w:tc>
          <w:tcPr>
            <w:tcW w:w="76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i/>
              </w:rPr>
            </w:pPr>
            <w:r>
              <w:rPr>
                <w:i/>
              </w:rPr>
              <w:t>$</w:t>
            </w:r>
          </w:p>
        </w:tc>
        <w:tc>
          <w:tcPr>
            <w:tcW w:w="811" w:type="dxa"/>
            <w:tcBorders/>
            <w:vAlign w:val="bottom"/>
          </w:tcPr>
          <w:p>
            <w:pPr>
              <w:pStyle w:val="TableContents"/>
              <w:bidi w:val="0"/>
              <w:spacing w:before="0" w:after="283"/>
              <w:jc w:val="right"/>
              <w:rPr>
                <w:i/>
              </w:rPr>
            </w:pPr>
            <w:r>
              <w:rPr>
                <w:i/>
              </w:rPr>
              <w:t>1.23</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i/>
              </w:rPr>
            </w:pPr>
            <w:r>
              <w:rPr>
                <w:i/>
              </w:rPr>
              <w:t>$</w:t>
            </w:r>
          </w:p>
        </w:tc>
        <w:tc>
          <w:tcPr>
            <w:tcW w:w="1743" w:type="dxa"/>
            <w:tcBorders/>
            <w:vAlign w:val="bottom"/>
          </w:tcPr>
          <w:p>
            <w:pPr>
              <w:pStyle w:val="TableContents"/>
              <w:bidi w:val="0"/>
              <w:spacing w:before="0" w:after="283"/>
              <w:jc w:val="right"/>
              <w:rPr>
                <w:i/>
              </w:rPr>
            </w:pPr>
            <w:r>
              <w:rPr>
                <w:i/>
              </w:rPr>
              <w:t>22,509,000.00</w:t>
            </w:r>
          </w:p>
        </w:tc>
        <w:tc>
          <w:tcPr>
            <w:tcW w:w="64"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Proceeds, before expenses, to us</w:t>
            </w:r>
          </w:p>
        </w:tc>
        <w:tc>
          <w:tcPr>
            <w:tcW w:w="76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i/>
              </w:rPr>
            </w:pPr>
            <w:r>
              <w:rPr>
                <w:i/>
              </w:rPr>
              <w:t>$</w:t>
            </w:r>
          </w:p>
        </w:tc>
        <w:tc>
          <w:tcPr>
            <w:tcW w:w="811" w:type="dxa"/>
            <w:tcBorders/>
            <w:shd w:fill="CCEEFF" w:val="clear"/>
            <w:vAlign w:val="bottom"/>
          </w:tcPr>
          <w:p>
            <w:pPr>
              <w:pStyle w:val="TableContents"/>
              <w:bidi w:val="0"/>
              <w:spacing w:before="0" w:after="283"/>
              <w:jc w:val="right"/>
              <w:rPr>
                <w:i/>
              </w:rPr>
            </w:pPr>
            <w:r>
              <w:rPr>
                <w:i/>
              </w:rPr>
              <w:t>19.27</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i/>
              </w:rPr>
            </w:pPr>
            <w:r>
              <w:rPr>
                <w:i/>
              </w:rPr>
              <w:t>$</w:t>
            </w:r>
          </w:p>
        </w:tc>
        <w:tc>
          <w:tcPr>
            <w:tcW w:w="1743" w:type="dxa"/>
            <w:tcBorders/>
            <w:shd w:fill="CCEEFF" w:val="clear"/>
            <w:vAlign w:val="bottom"/>
          </w:tcPr>
          <w:p>
            <w:pPr>
              <w:pStyle w:val="TableContents"/>
              <w:bidi w:val="0"/>
              <w:spacing w:before="0" w:after="283"/>
              <w:jc w:val="right"/>
              <w:rPr>
                <w:i/>
              </w:rPr>
            </w:pPr>
            <w:r>
              <w:rPr>
                <w:i/>
              </w:rPr>
              <w:t>352,641,000.00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i/>
              </w:rPr>
            </w:pPr>
            <w:r>
              <w:rPr>
                <w:i/>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See “Underwriters” beginning on page S-19 for additional information regarding underwriter compensation. </w:t>
            </w:r>
          </w:p>
        </w:tc>
      </w:tr>
    </w:tbl>
    <w:p>
      <w:pPr>
        <w:pStyle w:val="TextBody"/>
        <w:bidi w:val="0"/>
        <w:spacing w:before="240" w:after="0"/>
        <w:jc w:val="both"/>
        <w:rPr>
          <w:rFonts w:ascii="Times New Roman" w:hAnsi="Times New Roman"/>
          <w:i/>
          <w:sz w:val="20"/>
        </w:rPr>
      </w:pPr>
      <w:r>
        <w:rPr>
          <w:rFonts w:ascii="Times New Roman" w:hAnsi="Times New Roman"/>
          <w:i/>
          <w:sz w:val="20"/>
        </w:rPr>
        <w:t xml:space="preserve">We have granted the underwriters an option for a period of 30 days to purchase up to an additional 2,745,000 shares of our common stock at the public offering price set forth above, less underwriting discounts and commissions. </w:t>
      </w:r>
    </w:p>
    <w:p>
      <w:pPr>
        <w:pStyle w:val="TextBody"/>
        <w:bidi w:val="0"/>
        <w:spacing w:before="240" w:after="0"/>
        <w:jc w:val="both"/>
        <w:rPr>
          <w:rFonts w:ascii="Times New Roman" w:hAnsi="Times New Roman"/>
          <w:i/>
          <w:sz w:val="20"/>
        </w:rPr>
      </w:pPr>
      <w:r>
        <w:rPr>
          <w:rFonts w:ascii="Times New Roman" w:hAnsi="Times New Roman"/>
          <w:i/>
          <w:sz w:val="20"/>
        </w:rPr>
        <w:t xml:space="preserve">The underwriters expect to deliver the shares of common stock to purchasers on or about July 23, 2026. </w:t>
      </w:r>
    </w:p>
    <w:p>
      <w:pPr>
        <w:pStyle w:val="TextBody"/>
        <w:bidi w:val="0"/>
        <w:spacing w:before="240" w:after="0"/>
        <w:jc w:val="both"/>
        <w:rPr>
          <w:rFonts w:ascii="Times New Roman" w:hAnsi="Times New Roman"/>
          <w:i/>
          <w:sz w:val="20"/>
        </w:rPr>
      </w:pPr>
      <w:r>
        <w:rPr>
          <w:rFonts w:ascii="Times New Roman" w:hAnsi="Times New Roman"/>
          <w:i/>
          <w:sz w:val="20"/>
        </w:rPr>
        <w:t xml:space="preserve">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74"/>
        <w:gridCol w:w="101"/>
        <w:gridCol w:w="3266"/>
        <w:gridCol w:w="101"/>
        <w:gridCol w:w="3063"/>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3674" w:type="dxa"/>
            <w:tcBorders/>
            <w:vAlign w:val="bottom"/>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i/>
              </w:rPr>
            </w:pPr>
            <w:r>
              <w:rPr>
                <w:i/>
              </w:rPr>
              <w:t>Jefferies</w:t>
            </w:r>
          </w:p>
        </w:tc>
        <w:tc>
          <w:tcPr>
            <w:tcW w:w="101" w:type="dxa"/>
            <w:tcBorders/>
            <w:vAlign w:val="bottom"/>
          </w:tcPr>
          <w:p>
            <w:pPr>
              <w:pStyle w:val="TableContents"/>
              <w:bidi w:val="0"/>
              <w:spacing w:before="0" w:after="283"/>
              <w:jc w:val="left"/>
              <w:rPr/>
            </w:pPr>
            <w:r>
              <w:rPr/>
              <w:t> </w:t>
            </w:r>
          </w:p>
        </w:tc>
        <w:tc>
          <w:tcPr>
            <w:tcW w:w="3063" w:type="dxa"/>
            <w:tcBorders/>
            <w:vAlign w:val="bottom"/>
          </w:tcPr>
          <w:p>
            <w:pPr>
              <w:pStyle w:val="TableContents"/>
              <w:bidi w:val="0"/>
              <w:spacing w:before="0" w:after="283"/>
              <w:jc w:val="right"/>
              <w:rPr>
                <w:i/>
              </w:rPr>
            </w:pPr>
            <w:r>
              <w:rPr>
                <w:i/>
              </w:rPr>
              <w:t>Evercore ISI</w:t>
            </w:r>
          </w:p>
        </w:tc>
      </w:tr>
    </w:tbl>
    <w:tbl>
      <w:tblPr>
        <w:tblW w:w="5000" w:type="pct"/>
        <w:jc w:val="center"/>
        <w:tblInd w:w="0" w:type="dxa"/>
        <w:tblLayout w:type="fixed"/>
        <w:tblCellMar>
          <w:top w:w="0" w:type="dxa"/>
          <w:left w:w="0" w:type="dxa"/>
          <w:bottom w:w="0" w:type="dxa"/>
          <w:right w:w="0" w:type="dxa"/>
        </w:tblCellMar>
      </w:tblPr>
      <w:tblGrid>
        <w:gridCol w:w="5001"/>
        <w:gridCol w:w="101"/>
        <w:gridCol w:w="5103"/>
      </w:tblGrid>
      <w:tr>
        <w:trPr/>
        <w:tc>
          <w:tcPr>
            <w:tcW w:w="50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vAlign w:val="bottom"/>
          </w:tcPr>
          <w:p>
            <w:pPr>
              <w:pStyle w:val="TableContents"/>
              <w:bidi w:val="0"/>
              <w:spacing w:before="0" w:after="283"/>
              <w:jc w:val="left"/>
              <w:rPr>
                <w:i/>
              </w:rPr>
            </w:pPr>
            <w:r>
              <w:rPr>
                <w:i/>
              </w:rPr>
              <w:t>LifeSci Capital</w:t>
            </w:r>
          </w:p>
        </w:tc>
        <w:tc>
          <w:tcPr>
            <w:tcW w:w="101" w:type="dxa"/>
            <w:tcBorders/>
            <w:vAlign w:val="bottom"/>
          </w:tcPr>
          <w:p>
            <w:pPr>
              <w:pStyle w:val="TableContents"/>
              <w:bidi w:val="0"/>
              <w:spacing w:before="0" w:after="283"/>
              <w:jc w:val="left"/>
              <w:rPr/>
            </w:pPr>
            <w:r>
              <w:rPr/>
              <w:t> </w:t>
            </w:r>
          </w:p>
        </w:tc>
        <w:tc>
          <w:tcPr>
            <w:tcW w:w="5103" w:type="dxa"/>
            <w:tcBorders/>
            <w:vAlign w:val="bottom"/>
          </w:tcPr>
          <w:p>
            <w:pPr>
              <w:pStyle w:val="TableContents"/>
              <w:bidi w:val="0"/>
              <w:spacing w:before="0" w:after="283"/>
              <w:jc w:val="right"/>
              <w:rPr>
                <w:i/>
              </w:rPr>
            </w:pPr>
            <w:r>
              <w:rPr>
                <w:i/>
              </w:rPr>
              <w:t>Raymond James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jc w:val="center"/>
        <w:rPr>
          <w:rFonts w:ascii="Times New Roman" w:hAnsi="Times New Roman"/>
          <w:i/>
          <w:sz w:val="32"/>
        </w:rPr>
      </w:pPr>
      <w:r>
        <w:rPr>
          <w:rFonts w:ascii="Times New Roman" w:hAnsi="Times New Roman"/>
          <w:i/>
          <w:sz w:val="32"/>
        </w:rPr>
        <w:t xml:space="preserve">Jones </w:t>
      </w:r>
    </w:p>
    <w:p>
      <w:pPr>
        <w:pStyle w:val="TextBody"/>
        <w:bidi w:val="0"/>
        <w:spacing w:before="240" w:after="0"/>
        <w:jc w:val="both"/>
        <w:rPr>
          <w:rFonts w:ascii="Times New Roman" w:hAnsi="Times New Roman"/>
          <w:i/>
          <w:sz w:val="20"/>
        </w:rPr>
      </w:pPr>
      <w:r>
        <w:rPr>
          <w:rFonts w:ascii="Times New Roman" w:hAnsi="Times New Roman"/>
          <w:i/>
          <w:sz w:val="20"/>
        </w:rPr>
        <w:t xml:space="preserve">July 21,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73887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73887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247"/>
                              <w:gridCol w:w="29"/>
                              <w:gridCol w:w="225"/>
                              <w:gridCol w:w="29"/>
                              <w:gridCol w:w="514"/>
                              <w:gridCol w:w="58"/>
                              <w:gridCol w:w="28"/>
                              <w:gridCol w:w="226"/>
                              <w:gridCol w:w="30"/>
                            </w:tblGrid>
                            <w:tr>
                              <w:trPr/>
                              <w:tc>
                                <w:tcPr>
                                  <w:tcW w:w="351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
                                    <w:r>
                                      <w:rPr>
                                        <w:rStyle w:val="InternetLink"/>
                                        <w:rFonts w:ascii="Times New Roman" w:hAnsi="Times New Roman"/>
                                        <w:sz w:val="20"/>
                                      </w:rPr>
                                      <w:t>About This Prospectus Supplement</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2">
                                    <w:r>
                                      <w:rPr>
                                        <w:rStyle w:val="InternetLink"/>
                                        <w:rFonts w:ascii="Times New Roman" w:hAnsi="Times New Roman"/>
                                        <w:sz w:val="20"/>
                                      </w:rPr>
                                      <w:t>Cautionary Note Regarding Forward-Looking Statements and Industry Data</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S-2</w:t>
                                  </w:r>
                                </w:p>
                              </w:tc>
                              <w:tc>
                                <w:tcPr>
                                  <w:tcW w:w="29" w:type="dxa"/>
                                  <w:vMerge w:val="restart"/>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3">
                                    <w:r>
                                      <w:rPr>
                                        <w:rStyle w:val="InternetLink"/>
                                        <w:rFonts w:ascii="Times New Roman" w:hAnsi="Times New Roman"/>
                                        <w:sz w:val="20"/>
                                      </w:rPr>
                                      <w:t>Prospectus Supplement Summary</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S-12</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6">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S-13</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7">
                                    <w:r>
                                      <w:rPr>
                                        <w:rStyle w:val="InternetLink"/>
                                        <w:rFonts w:ascii="Times New Roman" w:hAnsi="Times New Roman"/>
                                        <w:sz w:val="20"/>
                                      </w:rPr>
                                      <w:t>Material U.S. Federal Income Tax Considerations For Non-U.S. Holders of Our Common Stock</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S-15</w:t>
                                  </w:r>
                                </w:p>
                              </w:tc>
                              <w:tc>
                                <w:tcPr>
                                  <w:tcW w:w="29" w:type="dxa"/>
                                  <w:vMerge w:val="restart"/>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8">
                                    <w:r>
                                      <w:rPr>
                                        <w:rStyle w:val="InternetLink"/>
                                        <w:rFonts w:ascii="Times New Roman" w:hAnsi="Times New Roman"/>
                                        <w:sz w:val="20"/>
                                      </w:rPr>
                                      <w:t>Underwriters</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S-19</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9">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0">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1">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2">
                                    <w:r>
                                      <w:rPr>
                                        <w:rStyle w:val="InternetLink"/>
                                        <w:rFonts w:ascii="Times New Roman" w:hAnsi="Times New Roman"/>
                                        <w:sz w:val="20"/>
                                      </w:rPr>
                                      <w:t>Incorporation of Certain Information by Reference</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247"/>
                        <w:gridCol w:w="29"/>
                        <w:gridCol w:w="225"/>
                        <w:gridCol w:w="29"/>
                        <w:gridCol w:w="514"/>
                        <w:gridCol w:w="58"/>
                        <w:gridCol w:w="28"/>
                        <w:gridCol w:w="226"/>
                        <w:gridCol w:w="30"/>
                      </w:tblGrid>
                      <w:tr>
                        <w:trPr/>
                        <w:tc>
                          <w:tcPr>
                            <w:tcW w:w="351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
                              <w:r>
                                <w:rPr>
                                  <w:rStyle w:val="InternetLink"/>
                                  <w:rFonts w:ascii="Times New Roman" w:hAnsi="Times New Roman"/>
                                  <w:sz w:val="20"/>
                                </w:rPr>
                                <w:t>About This Prospectus Supplement</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2">
                              <w:r>
                                <w:rPr>
                                  <w:rStyle w:val="InternetLink"/>
                                  <w:rFonts w:ascii="Times New Roman" w:hAnsi="Times New Roman"/>
                                  <w:sz w:val="20"/>
                                </w:rPr>
                                <w:t>Cautionary Note Regarding Forward-Looking Statements and Industry Data</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S-2</w:t>
                            </w:r>
                          </w:p>
                        </w:tc>
                        <w:tc>
                          <w:tcPr>
                            <w:tcW w:w="29" w:type="dxa"/>
                            <w:vMerge w:val="restart"/>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3">
                              <w:r>
                                <w:rPr>
                                  <w:rStyle w:val="InternetLink"/>
                                  <w:rFonts w:ascii="Times New Roman" w:hAnsi="Times New Roman"/>
                                  <w:sz w:val="20"/>
                                </w:rPr>
                                <w:t>Prospectus Supplement Summary</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S-12</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6">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S-13</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7">
                              <w:r>
                                <w:rPr>
                                  <w:rStyle w:val="InternetLink"/>
                                  <w:rFonts w:ascii="Times New Roman" w:hAnsi="Times New Roman"/>
                                  <w:sz w:val="20"/>
                                </w:rPr>
                                <w:t>Material U.S. Federal Income Tax Considerations For Non-U.S. Holders of Our Common Stock</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S-15</w:t>
                            </w:r>
                          </w:p>
                        </w:tc>
                        <w:tc>
                          <w:tcPr>
                            <w:tcW w:w="29" w:type="dxa"/>
                            <w:vMerge w:val="restart"/>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8">
                              <w:r>
                                <w:rPr>
                                  <w:rStyle w:val="InternetLink"/>
                                  <w:rFonts w:ascii="Times New Roman" w:hAnsi="Times New Roman"/>
                                  <w:sz w:val="20"/>
                                </w:rPr>
                                <w:t>Underwriters</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S-19</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9">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0">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1">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2">
                              <w:r>
                                <w:rPr>
                                  <w:rStyle w:val="InternetLink"/>
                                  <w:rFonts w:ascii="Times New Roman" w:hAnsi="Times New Roman"/>
                                  <w:sz w:val="20"/>
                                </w:rPr>
                                <w:t>Incorporation of Certain Information by Reference</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807910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807910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4"/>
                              <w:gridCol w:w="274"/>
                              <w:gridCol w:w="47"/>
                              <w:gridCol w:w="207"/>
                              <w:gridCol w:w="30"/>
                              <w:gridCol w:w="320"/>
                              <w:gridCol w:w="59"/>
                              <w:gridCol w:w="29"/>
                              <w:gridCol w:w="69"/>
                              <w:gridCol w:w="31"/>
                            </w:tblGrid>
                            <w:tr>
                              <w:trPr/>
                              <w:tc>
                                <w:tcPr>
                                  <w:tcW w:w="393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restart"/>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274" w:type="dxa"/>
                                  <w:vMerge w:val="restart"/>
                                  <w:tcBorders/>
                                  <w:vAlign w:val="bottom"/>
                                </w:tcPr>
                                <w:p>
                                  <w:pPr>
                                    <w:pStyle w:val="TableContents"/>
                                    <w:bidi w:val="0"/>
                                    <w:spacing w:before="0" w:after="283"/>
                                    <w:jc w:val="left"/>
                                    <w:rPr/>
                                  </w:pPr>
                                  <w:r>
                                    <w:rPr/>
                                    <w:t>  </w:t>
                                  </w:r>
                                </w:p>
                              </w:tc>
                              <w:tc>
                                <w:tcPr>
                                  <w:tcW w:w="47" w:type="dxa"/>
                                  <w:vMerge w:val="restart"/>
                                  <w:tcBorders/>
                                  <w:vAlign w:val="bottom"/>
                                </w:tcPr>
                                <w:p>
                                  <w:pPr>
                                    <w:pStyle w:val="TableContents"/>
                                    <w:bidi w:val="0"/>
                                    <w:spacing w:before="0" w:after="283"/>
                                    <w:jc w:val="left"/>
                                    <w:rPr/>
                                  </w:pPr>
                                  <w:r>
                                    <w:rPr/>
                                    <w:t> </w:t>
                                  </w:r>
                                </w:p>
                              </w:tc>
                              <w:tc>
                                <w:tcPr>
                                  <w:tcW w:w="207" w:type="dxa"/>
                                  <w:vMerge w:val="restart"/>
                                  <w:tcBorders/>
                                  <w:vAlign w:val="bottom"/>
                                </w:tcPr>
                                <w:p>
                                  <w:pPr>
                                    <w:pStyle w:val="TableContents"/>
                                    <w:bidi w:val="0"/>
                                    <w:spacing w:before="0" w:after="283"/>
                                    <w:jc w:val="right"/>
                                    <w:rPr/>
                                  </w:pPr>
                                  <w:r>
                                    <w:rPr/>
                                    <w:t>3</w:t>
                                  </w:r>
                                </w:p>
                              </w:tc>
                              <w:tc>
                                <w:tcPr>
                                  <w:tcW w:w="30" w:type="dxa"/>
                                  <w:vMerge w:val="restart"/>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continue"/>
                                  <w:tcBorders/>
                                  <w:vAlign w:val="bottom"/>
                                </w:tcPr>
                                <w:p>
                                  <w:pPr>
                                    <w:pStyle w:val="Normal"/>
                                    <w:bidi w:val="0"/>
                                    <w:jc w:val="left"/>
                                    <w:rPr/>
                                  </w:pPr>
                                  <w:r>
                                    <w:rPr/>
                                  </w:r>
                                </w:p>
                              </w:tc>
                              <w:tc>
                                <w:tcPr>
                                  <w:tcW w:w="274" w:type="dxa"/>
                                  <w:vMerge w:val="continue"/>
                                  <w:tcBorders/>
                                  <w:vAlign w:val="bottom"/>
                                </w:tcPr>
                                <w:p>
                                  <w:pPr>
                                    <w:pStyle w:val="Normal"/>
                                    <w:bidi w:val="0"/>
                                    <w:jc w:val="left"/>
                                    <w:rPr/>
                                  </w:pPr>
                                  <w:r>
                                    <w:rPr/>
                                  </w:r>
                                </w:p>
                              </w:tc>
                              <w:tc>
                                <w:tcPr>
                                  <w:tcW w:w="47" w:type="dxa"/>
                                  <w:vMerge w:val="continue"/>
                                  <w:tcBorders/>
                                  <w:vAlign w:val="bottom"/>
                                </w:tcPr>
                                <w:p>
                                  <w:pPr>
                                    <w:pStyle w:val="Normal"/>
                                    <w:bidi w:val="0"/>
                                    <w:jc w:val="left"/>
                                    <w:rPr/>
                                  </w:pPr>
                                  <w:r>
                                    <w:rPr/>
                                  </w:r>
                                </w:p>
                              </w:tc>
                              <w:tc>
                                <w:tcPr>
                                  <w:tcW w:w="207"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320"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5</w:t>
                                  </w:r>
                                </w:p>
                              </w:tc>
                              <w:tc>
                                <w:tcPr>
                                  <w:tcW w:w="31"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30</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6.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4"/>
                        <w:gridCol w:w="274"/>
                        <w:gridCol w:w="47"/>
                        <w:gridCol w:w="207"/>
                        <w:gridCol w:w="30"/>
                        <w:gridCol w:w="320"/>
                        <w:gridCol w:w="59"/>
                        <w:gridCol w:w="29"/>
                        <w:gridCol w:w="69"/>
                        <w:gridCol w:w="31"/>
                      </w:tblGrid>
                      <w:tr>
                        <w:trPr/>
                        <w:tc>
                          <w:tcPr>
                            <w:tcW w:w="393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restart"/>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274" w:type="dxa"/>
                            <w:vMerge w:val="restart"/>
                            <w:tcBorders/>
                            <w:vAlign w:val="bottom"/>
                          </w:tcPr>
                          <w:p>
                            <w:pPr>
                              <w:pStyle w:val="TableContents"/>
                              <w:bidi w:val="0"/>
                              <w:spacing w:before="0" w:after="283"/>
                              <w:jc w:val="left"/>
                              <w:rPr/>
                            </w:pPr>
                            <w:r>
                              <w:rPr/>
                              <w:t>  </w:t>
                            </w:r>
                          </w:p>
                        </w:tc>
                        <w:tc>
                          <w:tcPr>
                            <w:tcW w:w="47" w:type="dxa"/>
                            <w:vMerge w:val="restart"/>
                            <w:tcBorders/>
                            <w:vAlign w:val="bottom"/>
                          </w:tcPr>
                          <w:p>
                            <w:pPr>
                              <w:pStyle w:val="TableContents"/>
                              <w:bidi w:val="0"/>
                              <w:spacing w:before="0" w:after="283"/>
                              <w:jc w:val="left"/>
                              <w:rPr/>
                            </w:pPr>
                            <w:r>
                              <w:rPr/>
                              <w:t> </w:t>
                            </w:r>
                          </w:p>
                        </w:tc>
                        <w:tc>
                          <w:tcPr>
                            <w:tcW w:w="207" w:type="dxa"/>
                            <w:vMerge w:val="restart"/>
                            <w:tcBorders/>
                            <w:vAlign w:val="bottom"/>
                          </w:tcPr>
                          <w:p>
                            <w:pPr>
                              <w:pStyle w:val="TableContents"/>
                              <w:bidi w:val="0"/>
                              <w:spacing w:before="0" w:after="283"/>
                              <w:jc w:val="right"/>
                              <w:rPr/>
                            </w:pPr>
                            <w:r>
                              <w:rPr/>
                              <w:t>3</w:t>
                            </w:r>
                          </w:p>
                        </w:tc>
                        <w:tc>
                          <w:tcPr>
                            <w:tcW w:w="30" w:type="dxa"/>
                            <w:vMerge w:val="restart"/>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continue"/>
                            <w:tcBorders/>
                            <w:vAlign w:val="bottom"/>
                          </w:tcPr>
                          <w:p>
                            <w:pPr>
                              <w:pStyle w:val="Normal"/>
                              <w:bidi w:val="0"/>
                              <w:jc w:val="left"/>
                              <w:rPr/>
                            </w:pPr>
                            <w:r>
                              <w:rPr/>
                            </w:r>
                          </w:p>
                        </w:tc>
                        <w:tc>
                          <w:tcPr>
                            <w:tcW w:w="274" w:type="dxa"/>
                            <w:vMerge w:val="continue"/>
                            <w:tcBorders/>
                            <w:vAlign w:val="bottom"/>
                          </w:tcPr>
                          <w:p>
                            <w:pPr>
                              <w:pStyle w:val="Normal"/>
                              <w:bidi w:val="0"/>
                              <w:jc w:val="left"/>
                              <w:rPr/>
                            </w:pPr>
                            <w:r>
                              <w:rPr/>
                            </w:r>
                          </w:p>
                        </w:tc>
                        <w:tc>
                          <w:tcPr>
                            <w:tcW w:w="47" w:type="dxa"/>
                            <w:vMerge w:val="continue"/>
                            <w:tcBorders/>
                            <w:vAlign w:val="bottom"/>
                          </w:tcPr>
                          <w:p>
                            <w:pPr>
                              <w:pStyle w:val="Normal"/>
                              <w:bidi w:val="0"/>
                              <w:jc w:val="left"/>
                              <w:rPr/>
                            </w:pPr>
                            <w:r>
                              <w:rPr/>
                            </w:r>
                          </w:p>
                        </w:tc>
                        <w:tc>
                          <w:tcPr>
                            <w:tcW w:w="207"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320"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5</w:t>
                            </w:r>
                          </w:p>
                        </w:tc>
                        <w:tc>
                          <w:tcPr>
                            <w:tcW w:w="31"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30</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98164_1"/>
      <w:bookmarkEnd w:id="3"/>
      <w:r>
        <w:rPr>
          <w:rFonts w:ascii="Times New Roman" w:hAnsi="Times New Roman"/>
          <w:b/>
          <w:sz w:val="20"/>
        </w:rPr>
        <w:t xml:space="preserve">ABOUT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240" w:after="0"/>
        <w:jc w:val="both"/>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both"/>
        <w:rPr>
          <w:rFonts w:ascii="Times New Roman" w:hAnsi="Times New Roman"/>
          <w:sz w:val="20"/>
        </w:rPr>
      </w:pPr>
      <w:r>
        <w:rPr>
          <w:rFonts w:ascii="Times New Roman" w:hAnsi="Times New Roman"/>
          <w:sz w:val="20"/>
        </w:rPr>
        <w:t xml:space="preserve">Unless the context otherwise indicates, references in this prospectus supplement and the accompanying prospectus to the “Company,” “we,” “our” and “us” refer, collectively, to Dyne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98164_2"/>
      <w:bookmarkEnd w:id="4"/>
      <w:r>
        <w:rPr>
          <w:rFonts w:ascii="Times New Roman" w:hAnsi="Times New Roman"/>
          <w:b/>
          <w:sz w:val="20"/>
        </w:rPr>
        <w:t xml:space="preserve">CAUTIONARY NOTE REGARDING FORWARD-LOOKING STATEMENTS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within the meaning of the U.S. Private Securities Litigation Reform Act of 1995 and Section 21E of the Exchange Act, that involve substantial risk and uncertainties. All statements, other than statements of historical fact, contained in this prospectus supplement, the accompanying prospectus and the information incorporated herein by reference herein and therein,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or the negative of these words or other similar expressions are intended to identify forward-looking statements, although not all forward-looking statements contain these identifying words.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supplement, the accompanying prospectus and the information incorporated by reference herein and therein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design,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anticipated timing of the submission and clearance of investigational new drug applications and comparable foreign applications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and our ability to submit applications for, obtain and maintain regulatory approvals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estimates regarding expenses, future revenue, capital requirements, need for additional financing and the period over which we believe our cash, cash equivalents and marketable securities will be sufficient to fund our operating expenses, debt service obligations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comply with the restrictive covenants under our loan agreement, or the Loan Agreement, with Hercules Capital, Inc., or Hercules;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satisfy interest and principal payments under our Loan Agreement with Hercules;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plans to develop and, if approved, subsequently commercialize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advantages of our FORCE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intellectual property position and our expectations regarding our ability to obtain and maintain intellectual property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competitive position and expectations regarding developments and projections relating to our competitors and any competing therapies that are or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collaborations or obtain additional funding;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relating to the use of proceeds from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differ materially from the plans, intentions and expectations disclosed in the forward-looking statements we make. Factors that may cause actual results to differ materially from current expectations include, among other things, those listed in the “Risk Factors” section of this prospectus supplement and the “Risk Factors” sections contained in our most recent Annual Report on Form 10-K, Quarterly Report on Form 10-Q and other filings we make with the Securities and Exchange Commission, or the SEC, from time to time, which are incorporated by reference into this prospectus supplement. 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that we may make or enter into.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The forward-looking statements contained in this prospectus and incorporated by reference herein are made as of the date when made. We do not assume any obligation to update any forward-looking statements, whether as a result of new information, future events or otherwise, except as required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We believe that the information from these industry publications, surveys and studies is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98164_3"/>
      <w:bookmarkEnd w:id="5"/>
      <w:r>
        <w:rPr>
          <w:rFonts w:ascii="Times New Roman" w:hAnsi="Times New Roman"/>
          <w:b/>
          <w:sz w:val="20"/>
          <w:bdr w:val="single" w:sz="8" w:space="1" w:color="000000"/>
        </w:rPr>
        <w:t xml:space="preserve">PROSPECTUS SUPPLEMENT SUMMARY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S-9</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of this prospectus supplement, in the accompanying prospectus and in the documents incorporated by reference herein and therein, along with our consolidated financial statements and notes to those consolidated financial statements and the other information incorporated by reference in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company focused on delivering functional improvement for people living with genetically driven neuromuscular diseases. Our proprietary FORCETM platform is designed to leverage the transferrin receptor 1, or TfR1, to deliver targeted therapeutics to muscle tissue and the central nervous system, or CNS. The FORCE platform utilizes an antigen-binding fragment antibody, or Fab, targeting TfR1 linked to a payload that we rationally design to target the genetic basis of the disease we are seeking to treat. With our FORCE platform, we have the flexibility to deploy different classes of payloads (such as oligonucleotides and enzymes) with specific mechanisms of action that modify target functions. We currently leverage this modularity to focus on neuromuscular diseases with high unmet need, with etiologic targets and with clear translational potential from preclinical disease models to well-defined clinical development and regulatory pathways.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Using our FORCE platform, we are assembling a broad portfolio of product candidates, including product candidates being developed for Duchenne muscular dystrophy, or DMD, myotonic dystrophy type 1, or DM1, facioscapulohumeral dystrophy, or FSHD, and Pompe disease. In addition, we plan to expand our portfolio through development efforts focused on diseases involving the CNS, rare skeletal muscle diseases, and cardiac and metabolic muscle diseases, including some with larger patient populations. We have identified product candidates for each of our DMD (amenable to skipping exons 51, 53, 45, 44, and 55), DM1, FSHD and Pompe programs that are in varying stages of preclinical and clinical development.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DMD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May 2026, we initiated our Phase 3 FORZETTO clinical trial, a global, randomized, placebo-controlled, double-blind, confirmatory Phase 3 trial designed to assess the efficacy, safety, and tolerability of z-rostudirsen administered intravenously to ambulatory male participants with DMD amenable to exon 51 skipping. The trial will enroll approximately 90 participants 4 to 18 years of age who will be randomized 1:1 to receive 20 mg/kg of z-rostudirsen or placebo every four weeks (Q4W). The primary endpoint is the change from baseline in rise from floor (RFF) velocity at Week 73. Secondary endpoints include changes from baseline in stride velocity 95th centile (SV95C), North Star Ambulatory Assessment (NSAA) total score, 10-meter walk/run (10MWR) velocity, four-stair climb (4SC) velocity and forced vital capacity percent predicted (FVC%p), as well as additional functional and patient-reported outcome measures. Following the 72-week double-blind placebo-controlled treatment period, participants will be eligible to enroll in a 96-week open-label long-term extension. We have aligned with the FDA on the FORZETTO Phase 3 trial design and protocol. FORZETTO is intended to serve as a confirmatory trial to support the potential conversion of Accelerated Approval to traditional approval in the United States and to support ex-U.S. marketing applications. We continue to pursue approval pathways outside of the United States for z-rostudirsen.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July 2026, we announced that the U.S. Food and Drug Administration, or FDA, accepted for review our biologics license application, or BLA, for zeleciment rostudirsen (z-rostudirsen, also known as DYNE-251) for the treatment of individuals with DMD amenable to exon 51 skipping. The FDA has granted the BLA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Review and assigned a Prescription Drug User Fee Act (PDUFA) target action date of January 21, 2027. We continue to expect a potential launch of z-rostudirsen in the United States in the first quarter of 2027, assuming FDA approval is received on the anticipated timeline.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DM1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March 2026, we initiated our Phase 3 HARMONIA clinical trial, a global, randomized, placebo-controlled, double-blind, confirmatory Phase 3 trial designed to assess the multi-system efficacy, safety, and tolerability of z-basivarsen administered intravenously to individuals with DM1. The trial will enroll approximately 150 participants age 16 and older who will be randomized 1:1 to receive 6.8 mg/kg of z-basivarsen or placebo every eight weeks (Q8W). The primary endpoint is the change from baseline in the five times sit to stand (5xSTS) test at week 49. Secondary endpoints include video hand opening time, quantitative muscle testing, the 10-Meter Walk/Run test, the Myotonic Dystrophy Health Index, and additional patient- and clinician-reported outcomes. The trial also includes a broad set of exploratory endpoints designed to assess multiple domains of DM1 CNS impact. Following the 48-week double-blind placebo-controlled treatment period, patients will be eligible to enroll in a 24-week long-term extension. We have aligned with the FDA on the HARMONIA Phase 3 trial design and protocol. HARMONIA is intended to serve as a confirmatory trial to support the potential conversion of Accelerated Approval to traditional approval in the United States and to support ex-U.S. marketing applications. We continue to pursue approval pathways outside of the United States for z-basivarsen.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Risks Related to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under the heading “Risk Factors” and elsewhere in this prospectus supplement, in the accompanying prospectus and in the documents incorporated by reference herein and therein, including our Annual Report on Form 10-K for the fiscal year ended December 31, 2025 and our subsequent Quarterly Report on Form 10-Q. These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will need substantial additional funding. If we are unable to raise capital when needed, we could be forced to delay, reduce or eliminate our product development programs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product candidates are in varying stages of preclinical and clinical development, and we have not completed clinical development of any product candidate. We do not expect to have a product candidate ready for commercialization at least until 2027, if ever. If we are unable to advance product candidates through preclinical studies and clinical trials, obtain marketing approval and ultimately commercialize them,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encounter substantial delays in commencement, enrollment or completion of our clinical trials and the data from the clinical trials of our product candidates may fail to demonstrate sufficient safety and efficacy to warrant further development or satisfy the applicable regulatory authorities, which could prevent us from commercializing any product candidates we determine to develop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Fast Track, Breakthrough, Regenerative Medicine Advanced Therapy or Priority Review designations by the FDA may not actually lead to a faster development or regulatory review or approval process and does not assure FDA approval of any product candidates we may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currently pursuing accelerated development pathways for our product candidates for DM1 and DMD. However, there can be no assurance that the FDA will agree with the surrogate endpoints or intermediate clinical endpoints in any of our clinical trials or that future applications for marketing approval using the Accelerated Approval pathway will be accepted for filing or that review or approval will be granted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approach to the discovery and development of product candidates based on our FORCE platform is unproven, and we may not be successful in our efforts to develop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outcome of preclinical studies and initial data from earlier-stage clinical trials may not be predictive of final results of clinical trials or future clinical trials and data from trials in one indication may not be predictive of results of clinical trials in other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our product candidates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Loan Agreement with Hercules contains restrictive and financial covenants that may limit our operating flexibility and our failure to comply with the covenants or other terms of the Loan Agreement, including as a result of events beyond our control, could result in a default under the Loan Agreement that could materially and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and expect to continue to rely, on third parties to conduct some or all aspects of our product manufacturing, research, preclinical and clinical testing, and these third parties may not perform satisfactorily.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us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rights to develop and commercialize certain of our product candidates are subject or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any product candidate that we may develop receives marketing approval, it may fail to achieve the degree of market acceptance by physicians, patients, third-party payers and others in the medical community necessary for commercial success.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December 1, 2017 under the name Dyne Therapeutics, Inc. Our principal executive offices are located at 1560 Trapelo Road, Waltham, Massachusetts 02451 and our telephone number is (781) 786-8230. Our website address is https://www.dyne-tx.com.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and Tradenames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own or have rights to trademarks, service marks and trade names that we use in connection with the operation of our business, including our corporate name, logos and website names. The service marks and trademarks that we own include the marks Dyne Therapeutics® and FORCE. Other trademarks, service marks and trade names appearing in this prospectus supplement are the property of their respective owners. Solely for convenience, some of the trademarks, service marks and trade names referred to in this prospectus supplement are listed without the ® and  symbols, but we will assert, to the fullest extent under applicable law, our rights to our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74"/>
        <w:gridCol w:w="121"/>
        <w:gridCol w:w="4910"/>
      </w:tblGrid>
      <w:tr>
        <w:trPr/>
        <w:tc>
          <w:tcPr>
            <w:tcW w:w="51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Offered by Us</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18,300,000 shares.</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Option to Purchase Additional Shares</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have granted the underwriters an option for a period of 30 days from the date of this prospectus supplement to purchase up to an additional 2,745,000 shares of our common stock.</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to be Outstanding Immediately Following this Offering</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183,831,839 shares, or 186,576,839 shares if the underwriters exercise in full their option to purchase additional shares.</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to us from this offering will be approximately $352.1 million, or approximately $405.0 million if the underwriters exercise their option to purchase additional shares in full, in each case after deducting underwriting discounts and commissions and estimated offering expenses payable by us.</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intend to use the net proceeds from this offering, together with our existing cash, cash equivalents and marketable securities, and the third term loan tranche of $50.0 million that we borrowed under our Loan Agreement with Hercules in June 2026, to advance the development of z-rostudirsen and z-basivarsen, including ongoing and planned clinical trials and the pursuit of regulatory approvals for z-rostudirsen and z-basivarsen, to build appropriate manufacturing capabilities to support potential commercial launches of z-rostudirsen and z-basivarsen, continued expansion of commercial infrastructure and capabilities, continued research and development for our other clinical and preclinical programs, including for DMD (four additional exons), FSHD and Pompe disease, continued development and enhancement of our proprietary FORCE platform and for working capital and other general corporate purposes. See “Use of Proceeds” for more information.</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Risk Factors</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You should read the “Risk Factors” section of this prospectus supplement beginning on page S-9 and the “Risk Factors” sections contained in the accompanying prospectus and in the documents incorporated by reference herein and therein, including our Annual Report on Form 10-K for the fiscal year ended December 31, 2025 and our subsequent Quarterly Report on Form 10-Q, for a discussion of factors to consider carefully before deciding to invest in shares of our common stock.</w:t>
            </w:r>
          </w:p>
        </w:tc>
      </w:tr>
      <w:tr>
        <w:trPr>
          <w:trHeight w:val="75" w:hRule="atLeast"/>
        </w:trPr>
        <w:tc>
          <w:tcPr>
            <w:tcW w:w="5174" w:type="dxa"/>
            <w:tcBorders/>
            <w:vAlign w:val="center"/>
          </w:tcPr>
          <w:p>
            <w:pPr>
              <w:pStyle w:val="TableContents"/>
              <w:bidi w:val="0"/>
              <w:spacing w:before="0" w:after="283"/>
              <w:jc w:val="left"/>
              <w:rPr>
                <w:sz w:val="4"/>
                <w:szCs w:val="4"/>
              </w:rPr>
            </w:pPr>
            <w:r>
              <w:rPr>
                <w:sz w:val="4"/>
                <w:szCs w:val="4"/>
              </w:rPr>
            </w:r>
          </w:p>
        </w:tc>
        <w:tc>
          <w:tcPr>
            <w:tcW w:w="5031" w:type="dxa"/>
            <w:gridSpan w:val="2"/>
            <w:tcBorders/>
            <w:vAlign w:val="center"/>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b/>
                <w:sz w:val="20"/>
              </w:rPr>
            </w:pPr>
            <w:r>
              <w:rPr>
                <w:rFonts w:ascii="Times New Roman" w:hAnsi="Times New Roman"/>
                <w:b/>
                <w:sz w:val="20"/>
              </w:rPr>
              <w:t>Nasdaq Global Select Market Symbol</w:t>
            </w:r>
          </w:p>
        </w:tc>
        <w:tc>
          <w:tcPr>
            <w:tcW w:w="121"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both"/>
              <w:rPr/>
            </w:pPr>
            <w:r>
              <w:rPr/>
              <w:t>“</w:t>
            </w:r>
            <w:r>
              <w:rPr>
                <w:rFonts w:ascii="Times New Roman" w:hAnsi="Times New Roman"/>
                <w:sz w:val="20"/>
              </w:rPr>
              <w:t>DYN”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unless otherwise indicated, is based on 165,531,839 shares of our common stock outstanding as of May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13,137,729 shares of our common stock issuable upon exercise of stock options outstanding as of May 31, 2026, at a weighted-average exercise price of $17.55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4,490,535 shares of common stock issuable upon vesting and settlement of outstanding restricted stock units as of May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8,524,414 shares of common stock reserved for future issuance under our 2020 Stock Incentive Plan, or the 2020 Plan, as of May 31, 2026, and any additional automatic increases in the number of shares of common stock reserved for issuance under the 2020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488,414 shares of common stock reserved for future issuance under the 2020 Employee Stock Purchase Plan, or the 2020 ESPP, as of May 31, 2026, and any additional automatic increases in the number of shares of common stock reserved for issuance under the 2020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1,893,847 shares of common stock reserved for future issuance under our 2024 Inducement Stock Incentive Plan, as amended, or the 2024 Inducement Plan, as of May 31, 2026.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outstanding options or vesting and settlement of the restricted stock units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option to purchase additional shares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98164_4"/>
      <w:bookmarkEnd w:id="6"/>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An investment in our common stock involves a high degree of risk. Before deciding whether to invest in our common stock, you should consider carefully the risks and uncertainties described below and under the section captioned “Risk Factors” contained in our most recent Annual Report on Form 10-K, Quarterly Report on Form 10-Q and other filings we make with the SEC from time to time, which are incorporated by reference herein in their entirety, together with other information in this prospectus supplement and the accompanying prospectus. If any of these risks actually occurs, our business, financial condition, results of operations or cash flow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will suffer immediate dilution of your investment. </w:t>
      </w:r>
    </w:p>
    <w:p>
      <w:pPr>
        <w:pStyle w:val="TextBody"/>
        <w:bidi w:val="0"/>
        <w:spacing w:before="120" w:after="0"/>
        <w:jc w:val="both"/>
        <w:rPr>
          <w:rFonts w:ascii="Times New Roman" w:hAnsi="Times New Roman"/>
          <w:sz w:val="20"/>
        </w:rPr>
      </w:pPr>
      <w:r>
        <w:rPr>
          <w:rFonts w:ascii="Times New Roman" w:hAnsi="Times New Roman"/>
          <w:sz w:val="20"/>
        </w:rPr>
        <w:t xml:space="preserve">The public offering price of our common stock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the public offering price of $20.50 per share, you will experience immediate dilution of $13.87 per share, representing the difference between our pro forma as adjusted net tangible book value per share after giving effect to this offering and the public offering price. To the extent outstanding options are exercised, restricted stock units vest and settle or we raise additional capital, you will incur further dilution. For additional information on the dilution that you will experience immediately after this offering, see the section titled “Dilution”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both"/>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will be the sole source of gain for our stockholders.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 In addition, our Loan Agreement with Hercules limits our ability to pay dividends, as discussed further in the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factor in the Quarterly Report on Form 10-Q for the quarterly period ended March 31, 2026 entitled “</w:t>
      </w:r>
      <w:r>
        <w:rPr>
          <w:rFonts w:ascii="Times New Roman" w:hAnsi="Times New Roman"/>
          <w:i/>
          <w:sz w:val="20"/>
        </w:rPr>
        <w:t>Our Loan Agreement contains restrictive and financial covenants that may limit our operating flexibility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Loan Agreement contains restrictive and financial covenants that may limit our operating flexibility. </w:t>
      </w:r>
    </w:p>
    <w:p>
      <w:pPr>
        <w:pStyle w:val="TextBody"/>
        <w:bidi w:val="0"/>
        <w:spacing w:before="120" w:after="0"/>
        <w:jc w:val="both"/>
        <w:rPr>
          <w:rFonts w:ascii="Times New Roman" w:hAnsi="Times New Roman"/>
          <w:sz w:val="20"/>
        </w:rPr>
      </w:pPr>
      <w:r>
        <w:rPr>
          <w:rFonts w:ascii="Times New Roman" w:hAnsi="Times New Roman"/>
          <w:sz w:val="20"/>
        </w:rPr>
        <w:t xml:space="preserve">On June 27, 2025, we entered into the Loan Agreement with Hercules, in its capacity as administrative agent and collateral agent, and certain other financial institutions party thereto as lenders, or the Lenders. We entered into a First Amendment to the Loan Agreement in December 2025 and a Second Amendment to the Loan Agreement in June 2026. Following entry into the Second Amendment and the borrowing of the third term loan tranche, we have $200.0 million in outstanding term loans under the Loan Agreement and three additional term loan tranches we may borrow pursuant to the Loan Agreement, totaling up to $125.0 million, which are available subject to the achievement of specified clinical, regulatory and commercial milestones, and a final term loan tranche of up to $75.0 million, which is available subject to approval by the Lenders’ investment committee in their discretion. Our obligations under the Loan Agreement are secured by a first-priority security interest in substantially all of our property, inclusive of intellectual property, subject to customary permitted liens and other exceptions set forth in the Loan Agreement. </w:t>
      </w:r>
    </w:p>
    <w:p>
      <w:pPr>
        <w:pStyle w:val="TextBody"/>
        <w:bidi w:val="0"/>
        <w:spacing w:before="240" w:after="0"/>
        <w:jc w:val="both"/>
        <w:rPr>
          <w:rFonts w:ascii="Times New Roman" w:hAnsi="Times New Roman"/>
          <w:sz w:val="20"/>
        </w:rPr>
      </w:pPr>
      <w:r>
        <w:rPr>
          <w:rFonts w:ascii="Times New Roman" w:hAnsi="Times New Roman"/>
          <w:sz w:val="20"/>
        </w:rPr>
        <w:t xml:space="preserve">The Loan Agreement contains customary representations and warranties, events of default and affirmative and negative covenants, including a minimum cash covenant, which we refer to as the Minimum Cash Covenant, requiring that we maintain specified levels of cash in accounts subject to a control agreement in favor of Hercules, or the Qualified Cash, during the period commencing on July 1, 2027, or, subject to meeting certain financing milestones, July 1, 2028. The Minimum Cash Covenant will initially be set at 40% of the then outstanding obligations under the Loan Agreement, is subject to adjustment as low as 30% and as high as 60%, subject to specified clinical and regulatory milestones, and will not be tested at any time when our market capitalization is greater than $1.65 billion. We are also required to maintain minimum net product revenue from the sale of z-rostudirsen and z-basivarsen starting nine months after FDA approval of z-rostudirsen or z-basivarsen, which we refer to as the Minimum Revenue Covenant, if the outstanding obligations under the Loan Agreement exceed $100.0 million. The Minimum Revenue Covenant will not be tested for any month to the extent that for each day during such month either (i) Qualified Cash is at least 100% of our outstanding obligations under the Loan Agreement or (ii) our market capitalization is greater than $1.65 billion and Qualified Cash is at least 50% of our outstanding obligations under the Loan Agreement. Certain negative covenants under the Loan Agreement limit our ability, among other things, to incur future debt, grant liens, make investments, make acquisitions, distribute dividends, enter into transactions with affiliates, make payments on other indebtedness and sell assets, subject in each case to certain exceptions. Our business may be adversely affected by these restrictions on our ability to operate our business. If we raise any additional debt financing, as permitted by the Loan Agreement, the terms of such additional indebtedness could further restrict our operating and financial flexibility.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generate sufficient cash flow or sales to meet the Minimum Cash Covenant or the Minimum Revenue Covenant or pay the outstanding obligations under the Loan Agreement when due. Furthermore, our future working capital, borrowings or equity financings could be unavailable to repay or refinance the amounts outstanding under the Loan Agreement. In the event of a liquidation of our business, we would be required to repay all outstanding obligations under the Loan Agreement prior to the distribution of assets to unsecured creditors, and the holders of our common stock would receive a portion of any liquidation proceeds only if all of our creditors then existing, including the lenders under our Loan Agreement with Hercules, were first repaid in full. </w:t>
      </w:r>
    </w:p>
    <w:p>
      <w:pPr>
        <w:pStyle w:val="TextBody"/>
        <w:bidi w:val="0"/>
        <w:spacing w:before="240" w:after="0"/>
        <w:jc w:val="both"/>
        <w:rPr>
          <w:rFonts w:ascii="Times New Roman" w:hAnsi="Times New Roman"/>
          <w:sz w:val="20"/>
        </w:rPr>
      </w:pPr>
      <w:r>
        <w:rPr>
          <w:rFonts w:ascii="Times New Roman" w:hAnsi="Times New Roman"/>
          <w:sz w:val="20"/>
        </w:rPr>
        <w:t xml:space="preserve">If we fail to comply with the Minimum Cash Covenant, the Minimum Revenue Covenant or the other covenants under the Loan Agreement, it will result in an event of default. Upon the occurrence of an event of default, and subject to any specified cure periods, all amounts owed under the Loan Agreement may be declared immediately due and payable by the Lenders, and the Lenders may foreclose on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failure to comply with the covenants or other terms of the Loan Agreement, including as a result of events beyond our control, could result in a default under the Loan Agreement that could materially and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98164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our issuance and sale of 18,300,000 shares of our common stock in this offering will be approximately $352.1 million, or approximately $405.0 million if the underwriters exercise their option to purchase additional shares in full, in each case after deducting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marketable securities, including the third term loan tranche of $50.0 million that we borrowed under our Loan Agreement with Hercules in June 2026, to advance the development of z-rostudirsen and z-basivarsen, including ongoing and planned clinical trials and the pursuit of regulatory approvals for z-rostudirsen and z-basivarsen, to build appropriate manufacturing capabilities to support potential commercial launches of z-rostudirsen and z-basivarsen, continued expansion of commercial infrastructure and capabilities, continued research and development for our other clinical and preclinical programs, including for DMD (four additional exons), FSHD and Pompe disease, continued development and enhancement of our proprietary FORCE platform and for working capital and other general corporate purposes.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 net proceeds from this offering, together with our existing cash, cash equivalents and marketable securities, including the third term loan tranche of $50.0 million that we borrowed under our Loan Agreement with Hercules in June 2026, will enable us to fund our operating expenses, debt service obligations and capital expenditure requirements into the second quarter of 2028. We have based this estimate on assumptions that may prove to be wrong, and we could use our available capital resources sooner than we currently expect. This estimate does not give effect to any additional funding tranches we may obtain access to under our Loan Agreement with Hercules, subject to the achievement of specified clinical, regulatory and commercial milestones, and does not give effect to any revenue we may generate on commercial sales of any products for which we obtain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scope, progress, costs and results of our research and development efforts, as well as any collaborations that we may enter into with third parties for our product candidates and any unforeseen cash needs. 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 As a result, our management will retain broad discretion over the allocation of the net proceeds from this offering. </w:t>
      </w:r>
    </w:p>
    <w:p>
      <w:pPr>
        <w:pStyle w:val="TextBody"/>
        <w:bidi w:val="0"/>
        <w:spacing w:before="240" w:after="0"/>
        <w:jc w:val="both"/>
        <w:rPr>
          <w:rFonts w:ascii="Times New Roman" w:hAnsi="Times New Roman"/>
          <w:sz w:val="20"/>
        </w:rPr>
      </w:pPr>
      <w:r>
        <w:rPr>
          <w:rFonts w:ascii="Times New Roman" w:hAnsi="Times New Roman"/>
          <w:sz w:val="20"/>
        </w:rPr>
        <w:t xml:space="preserve">Pending use of the proceeds as described above, we intend to invest the net proceeds in a variety of capital preservation investments, including short-term, investment-grade, interest-bearing instruments and U.S.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98164_6"/>
      <w:bookmarkEnd w:id="8"/>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public offering price per share and the pro forma as adjusted net tangible book value per share of our common stock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historical net tangible book value as of March 31, 2026 was $865.1 million, or $5.24 per share of common stock. Our historical net tangible book value is the amount of our total tangible assets less our total liabilities. Historical net tangible book value per share represents historical net tangible book value divided by the 165,201,329 shares of our common stock outstanding as of March 31, 2026. </w:t>
      </w:r>
    </w:p>
    <w:p>
      <w:pPr>
        <w:pStyle w:val="TextBody"/>
        <w:bidi w:val="0"/>
        <w:spacing w:before="240" w:after="0"/>
        <w:jc w:val="both"/>
        <w:rPr>
          <w:rFonts w:ascii="Times New Roman" w:hAnsi="Times New Roman"/>
          <w:sz w:val="20"/>
        </w:rPr>
      </w:pPr>
      <w:r>
        <w:rPr>
          <w:rFonts w:ascii="Times New Roman" w:hAnsi="Times New Roman"/>
          <w:sz w:val="20"/>
        </w:rPr>
        <w:t xml:space="preserve">Our pro forma net tangible book value as of March 31, 2026 was $865.1 million, or $5.24 per share of common stock. Pro forma net tangible book value is the amount of our total tangible assets less our total liabilities, after giving effect to the third term loan tranche of $50.0 million that we borrowed under our Loan Agreement with Hercules in June 2026. Pro forma net tangible book value per share represents pro forma net tangible book value divided by the total number of shares outstanding as of March 31, 2026, after giving effect to the pro forma adjustment described in the immediately preceding sentence.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our issuance and sale of shares of our common stock in this offering at the public offering price of $20.50 per share, and after deducting underwriting discounts and commissions and estimated offering expenses payable by us, our pro forma as adjusted net tangible book value as of March 31, 2026 would have been $1,217.2 million, or $6.63 per share. This represents an immediate increase of $1.39 in pro forma as adjusted net tangible book value per share to existing stockholders and immediate dilution of $13.87 in pro forma as adjusted net tangible book value per share to investors purchasing shares of our common stock in this offering. Dilution per share to investors purchasing shares of our common stock in this offering is determined by subtracting pro forma as adjusted net tangible book value per share after this offering from the public offering price per share paid by investors purchasing shares of our common stock in this offering. The following table illustrates this calculation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53"/>
        <w:gridCol w:w="152"/>
        <w:gridCol w:w="60"/>
        <w:gridCol w:w="562"/>
        <w:gridCol w:w="60"/>
        <w:gridCol w:w="152"/>
        <w:gridCol w:w="140"/>
        <w:gridCol w:w="562"/>
        <w:gridCol w:w="64"/>
      </w:tblGrid>
      <w:tr>
        <w:trPr/>
        <w:tc>
          <w:tcPr>
            <w:tcW w:w="845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20.50</w:t>
            </w:r>
          </w:p>
        </w:tc>
        <w:tc>
          <w:tcPr>
            <w:tcW w:w="64" w:type="dxa"/>
            <w:tcBorders/>
            <w:shd w:fill="CCEEFF" w:val="clear"/>
            <w:vAlign w:val="bottom"/>
          </w:tcPr>
          <w:p>
            <w:pPr>
              <w:pStyle w:val="TableContents"/>
              <w:bidi w:val="0"/>
              <w:spacing w:before="0" w:after="283"/>
              <w:jc w:val="left"/>
              <w:rPr/>
            </w:pPr>
            <w:r>
              <w:rPr/>
              <w:t> </w:t>
            </w:r>
          </w:p>
        </w:tc>
      </w:tr>
      <w:tr>
        <w:trPr/>
        <w:tc>
          <w:tcPr>
            <w:tcW w:w="845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2026</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pro forma adjustment described above</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2026</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investors purchasing shares of common stock in this offering</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1.39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845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453"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as of March 31, 2026 after giving effect to this offering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6.63</w:t>
            </w:r>
          </w:p>
        </w:tc>
        <w:tc>
          <w:tcPr>
            <w:tcW w:w="64" w:type="dxa"/>
            <w:tcBorders/>
            <w:vAlign w:val="bottom"/>
          </w:tcPr>
          <w:p>
            <w:pPr>
              <w:pStyle w:val="TableContents"/>
              <w:bidi w:val="0"/>
              <w:spacing w:before="0" w:after="283"/>
              <w:jc w:val="left"/>
              <w:rPr/>
            </w:pPr>
            <w:r>
              <w:rPr/>
              <w:t> </w:t>
            </w:r>
          </w:p>
        </w:tc>
      </w:tr>
      <w:tr>
        <w:trPr/>
        <w:tc>
          <w:tcPr>
            <w:tcW w:w="845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shares of common stock in this offering</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13.87</w:t>
            </w:r>
          </w:p>
        </w:tc>
        <w:tc>
          <w:tcPr>
            <w:tcW w:w="64" w:type="dxa"/>
            <w:tcBorders/>
            <w:shd w:fill="CCEEFF" w:val="clear"/>
            <w:vAlign w:val="bottom"/>
          </w:tcPr>
          <w:p>
            <w:pPr>
              <w:pStyle w:val="TableContents"/>
              <w:bidi w:val="0"/>
              <w:spacing w:before="0" w:after="283"/>
              <w:jc w:val="left"/>
              <w:rPr/>
            </w:pPr>
            <w:r>
              <w:rPr/>
              <w:t> </w:t>
            </w:r>
          </w:p>
        </w:tc>
      </w:tr>
      <w:tr>
        <w:trPr/>
        <w:tc>
          <w:tcPr>
            <w:tcW w:w="845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in full, the dilution in pro forma as adjusted net tangible book value per share to investors purchasing shares of common stock in this offering would be $13.68 per share. </w:t>
      </w:r>
    </w:p>
    <w:p>
      <w:pPr>
        <w:pStyle w:val="TextBody"/>
        <w:bidi w:val="0"/>
        <w:spacing w:before="240" w:after="0"/>
        <w:jc w:val="both"/>
        <w:rPr>
          <w:rFonts w:ascii="Times New Roman" w:hAnsi="Times New Roman"/>
          <w:sz w:val="20"/>
        </w:rPr>
      </w:pPr>
      <w:r>
        <w:rPr>
          <w:rFonts w:ascii="Times New Roman" w:hAnsi="Times New Roman"/>
          <w:sz w:val="20"/>
        </w:rPr>
        <w:t xml:space="preserve">The table and discussion above are based on 165,201,329 shares of common stock outstanding as of March 31,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12,524,698 shares of our common stock issuable upon exercise of stock options outstanding as of March 31, 2026, at a weighted-average exercise price of $17.48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4,638,625 shares of common stock issuable upon vesting and settlement of outstanding restricted stock units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8,516,757 shares of common stock reserved for future issuance under the 2020 Plan, as of March 31, 2026, and any additional automatic increases in the number of shares of common stock reserved for issuance under the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488,414 shares of common stock reserved for future issuance under the 2020 ESPP, as of March 31, 2026, and any additional automatic increases in the number of shares of common stock reserved for issuance under the 2020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2,707,447 shares of common stock reserved for future issuance under the 2024 Inducement Plan, as of March 31,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any additional shares are issued, including in connection with the exercise of options, the vesting and settlement of restricted stock units or if the underwriters exercise their option to purchase additional shares of our common stock, you may experience further dilution. </w:t>
      </w:r>
    </w:p>
    <w:p>
      <w:pPr>
        <w:pStyle w:val="TextBody"/>
        <w:bidi w:val="0"/>
        <w:spacing w:before="240" w:after="0"/>
        <w:jc w:val="both"/>
        <w:rPr>
          <w:rFonts w:ascii="Times New Roman" w:hAnsi="Times New Roman"/>
          <w:sz w:val="20"/>
        </w:rPr>
      </w:pPr>
      <w:r>
        <w:rPr>
          <w:rFonts w:ascii="Times New Roman" w:hAnsi="Times New Roman"/>
          <w:sz w:val="20"/>
        </w:rPr>
        <w:t xml:space="preserve">The pro forma as adjusted information discussed above will be based on the number of shares, the offering price and other terms determined at pricing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98164_7"/>
      <w:bookmarkEnd w:id="9"/>
      <w:r>
        <w:rPr>
          <w:rFonts w:ascii="Times New Roman" w:hAnsi="Times New Roman"/>
          <w:b/>
          <w:sz w:val="20"/>
        </w:rPr>
        <w:t xml:space="preserve">MATERIAL U.S. FEDERAL INCOME TAX CONSIDERATIONS FOR NON-U.S. HOLDERS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discussion of the material U.S. federal income tax considerations applicable to non-U.S. holders with respect to their purchase, ownership and disposition of shares of our common stock. This discussion is for informational purposes only and is not tax advice. Accordingly, all prospective non-U.S. holders of our common stock should consult their own tax advisors with respect to the U.S. federal, state, and local and non-U.S. tax consequences of the purchase, ownership and disposition of our common stock. For purposes of this discussion, a “non-U.S. holder” means a beneficial owner (other than a partnership or other entity or arrangement classified as a partnership for U.S. federal income tax purposes) of our common stock who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any other organization taxable as a corporation for U.S. federal income tax purposes, created or organized in the United States or under the laws of the United States or of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(1) a U.S. court is able to exercise primary supervision over the trust’s administration and one or more United States persons (as defined in the Code) has the authority to control all of the trust’s substantial decisions or (2) the trust has a valid election in effect under applicable U.S. Treasury Regulations to be treated as a United States person.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non-U.S. holders described in this prospectus supplement. In addition, there can be no assurance that the Internal Revenue Service, which we refer to as the IRS, will not challenge one or more of the tax consequences described herein. We assume in this discussion that a non-U.S. holder holds shares of our common stock as a capital asset, generally property held for investment.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non-U.S. holder in light of that non-U.S. holder’s individual circumstances nor does it address any aspects of U.S. state or local or non-U.S. taxes, the alternative minimum tax, gift or estate taxes, or the Medicare tax on net investment income.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owners that hold our common stock as part of a straddle, hedge, conversion transaction, synthetic security or other integrated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acquired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U.S. expatriates.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this discussion does not address the tax treatment of partnerships or persons who hold our common stock through partnerships or other entities or arrangements classified as partnerships for U.S. federal income tax purposes.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do not expect to make cash distributions to holders of our common stock for the foreseeable future. 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exchange or other taxable disposition of our common stock.” Any such distributions will also be subject to the discussion below under the section titled “Withholding and information reporting requirements—FATCA.”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between the United States and such holder’s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that is eligible for a reduced rate of U.S. withholding tax under an income tax treaty may obtain a refund or credit of any excess amounts withheld by timely filing the required information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In general, a non-U.S. holder will not be subject to any U.S. federal income tax on any gain realized upon such holder’s sale, exchange or other taxable disposition of shares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generally will be taxed at the U.S. federal income tax rates applicable to United States persons (as defined in the Code) and, if the non-U.S. holder is a foreign corporation, the branch profits tax described above in “Distributions on our common stock”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or have been, at any time during the five-year period preceding such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during the shorter of the five-year period ending on the date of the taxable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both"/>
        <w:rPr>
          <w:rFonts w:ascii="Times New Roman" w:hAnsi="Times New Roman"/>
          <w:sz w:val="20"/>
        </w:rPr>
      </w:pPr>
      <w:r>
        <w:rPr>
          <w:rFonts w:ascii="Times New Roman" w:hAnsi="Times New Roman"/>
          <w:sz w:val="20"/>
        </w:rPr>
        <w:t xml:space="preserve">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the documentary evidence requirements for establishing that it is a not a United States person or otherwise establishes an exemption. Dividends paid to non-U.S. holders subject to withholding of U.S. federal income tax, as described above in “Distributions on our common stock,” generally will be exempt from U.S. backup withholding. </w:t>
      </w:r>
    </w:p>
    <w:p>
      <w:pPr>
        <w:pStyle w:val="TextBody"/>
        <w:bidi w:val="0"/>
        <w:spacing w:before="240" w:after="0"/>
        <w:jc w:val="both"/>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and information reporting requirements—FATCA </w:t>
      </w:r>
    </w:p>
    <w:p>
      <w:pPr>
        <w:pStyle w:val="TextBody"/>
        <w:bidi w:val="0"/>
        <w:spacing w:before="120" w:after="0"/>
        <w:jc w:val="both"/>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U.S. federal withholding tax at a rate of 30% on payments of dividends on, or gross proceeds from the sale or other disposition of, our common stock paid to foreign entities,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w:t>
      </w:r>
    </w:p>
    <w:p>
      <w:pPr>
        <w:pStyle w:val="TextBody"/>
        <w:bidi w:val="0"/>
        <w:spacing w:before="240" w:after="0"/>
        <w:jc w:val="both"/>
        <w:rPr>
          <w:rFonts w:ascii="Times New Roman" w:hAnsi="Times New Roman"/>
          <w:sz w:val="20"/>
        </w:rPr>
      </w:pPr>
      <w:r>
        <w:rPr>
          <w:rFonts w:ascii="Times New Roman" w:hAnsi="Times New Roman"/>
          <w:sz w:val="20"/>
        </w:rPr>
        <w:t xml:space="preserve">Withholding under FATCA generally will apply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 </w:t>
      </w:r>
    </w:p>
    <w:p>
      <w:pPr>
        <w:pStyle w:val="TextBody"/>
        <w:bidi w:val="0"/>
        <w:spacing w:before="240" w:after="0"/>
        <w:jc w:val="both"/>
        <w:rPr>
          <w:rFonts w:ascii="Times New Roman" w:hAnsi="Times New Roman"/>
          <w:sz w:val="20"/>
        </w:rPr>
      </w:pPr>
      <w:r>
        <w:rPr>
          <w:rFonts w:ascii="Times New Roman" w:hAnsi="Times New Roman"/>
          <w:sz w:val="20"/>
        </w:rPr>
        <w:t xml:space="preserve">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common stock and the entities through which they hold our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98164_8"/>
      <w:bookmarkEnd w:id="10"/>
      <w:r>
        <w:rPr>
          <w:rFonts w:ascii="Times New Roman" w:hAnsi="Times New Roman"/>
          <w:b/>
          <w:sz w:val="20"/>
        </w:rPr>
        <w:t xml:space="preserve">UNDERWRITERS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and Jefferies LLC are acting as representatives, have severally agreed to purchase, and we have agreed to sell to them, severally, the number of shares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227"/>
        <w:gridCol w:w="182"/>
        <w:gridCol w:w="60"/>
        <w:gridCol w:w="1121"/>
        <w:gridCol w:w="63"/>
      </w:tblGrid>
      <w:tr>
        <w:trPr/>
        <w:tc>
          <w:tcPr>
            <w:tcW w:w="622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w:t>
            </w:r>
          </w:p>
        </w:tc>
        <w:tc>
          <w:tcPr>
            <w:tcW w:w="182"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w:t>
              <w:br/>
              <w:t>Shares</w:t>
            </w:r>
          </w:p>
        </w:tc>
        <w:tc>
          <w:tcPr>
            <w:tcW w:w="63"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6,222,000</w:t>
            </w:r>
          </w:p>
        </w:tc>
        <w:tc>
          <w:tcPr>
            <w:tcW w:w="63" w:type="dxa"/>
            <w:tcBorders/>
            <w:shd w:fill="CCEEFF" w:val="clear"/>
            <w:vAlign w:val="bottom"/>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5,490,000</w:t>
            </w:r>
          </w:p>
        </w:tc>
        <w:tc>
          <w:tcPr>
            <w:tcW w:w="63"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3,660,000</w:t>
            </w:r>
          </w:p>
        </w:tc>
        <w:tc>
          <w:tcPr>
            <w:tcW w:w="63" w:type="dxa"/>
            <w:tcBorders/>
            <w:shd w:fill="CCEEFF" w:val="clear"/>
            <w:vAlign w:val="bottom"/>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1,464,000</w:t>
            </w:r>
          </w:p>
        </w:tc>
        <w:tc>
          <w:tcPr>
            <w:tcW w:w="63"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1,098,000</w:t>
            </w:r>
          </w:p>
        </w:tc>
        <w:tc>
          <w:tcPr>
            <w:tcW w:w="63" w:type="dxa"/>
            <w:tcBorders/>
            <w:shd w:fill="CCEEFF" w:val="clear"/>
            <w:vAlign w:val="bottom"/>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Jones Trading Institutional Services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366,000</w:t>
            </w:r>
          </w:p>
        </w:tc>
        <w:tc>
          <w:tcPr>
            <w:tcW w:w="63" w:type="dxa"/>
            <w:tcBorders/>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18,300,000</w:t>
            </w:r>
          </w:p>
        </w:tc>
        <w:tc>
          <w:tcPr>
            <w:tcW w:w="63" w:type="dxa"/>
            <w:tcBorders/>
            <w:shd w:fill="CCEEFF" w:val="clear"/>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$0.738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2,745,000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2,745,000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1"/>
        <w:gridCol w:w="213"/>
        <w:gridCol w:w="140"/>
        <w:gridCol w:w="561"/>
        <w:gridCol w:w="60"/>
        <w:gridCol w:w="213"/>
        <w:gridCol w:w="140"/>
        <w:gridCol w:w="1246"/>
        <w:gridCol w:w="60"/>
        <w:gridCol w:w="213"/>
        <w:gridCol w:w="140"/>
        <w:gridCol w:w="1246"/>
        <w:gridCol w:w="62"/>
      </w:tblGrid>
      <w:tr>
        <w:trPr/>
        <w:tc>
          <w:tcPr>
            <w:tcW w:w="591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91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2" w:type="dxa"/>
            <w:tcBorders/>
            <w:vAlign w:val="bottom"/>
          </w:tcPr>
          <w:p>
            <w:pPr>
              <w:pStyle w:val="TableContents"/>
              <w:bidi w:val="0"/>
              <w:spacing w:before="0" w:after="283"/>
              <w:jc w:val="left"/>
              <w:rPr/>
            </w:pPr>
            <w:r>
              <w:rPr/>
              <w:t> </w:t>
            </w:r>
          </w:p>
        </w:tc>
      </w:tr>
      <w:tr>
        <w:trPr/>
        <w:tc>
          <w:tcPr>
            <w:tcW w:w="591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2" w:type="dxa"/>
            <w:tcBorders/>
            <w:vAlign w:val="bottom"/>
          </w:tcPr>
          <w:p>
            <w:pPr>
              <w:pStyle w:val="TableContents"/>
              <w:bidi w:val="0"/>
              <w:spacing w:before="0" w:after="283"/>
              <w:jc w:val="left"/>
              <w:rPr/>
            </w:pPr>
            <w:r>
              <w:rPr/>
              <w:t> </w:t>
            </w:r>
          </w:p>
        </w:tc>
      </w:tr>
      <w:tr>
        <w:trPr/>
        <w:tc>
          <w:tcPr>
            <w:tcW w:w="5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20.50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375,150,000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431,422,500</w:t>
            </w:r>
          </w:p>
        </w:tc>
        <w:tc>
          <w:tcPr>
            <w:tcW w:w="62" w:type="dxa"/>
            <w:tcBorders/>
            <w:shd w:fill="CCEEFF" w:val="clear"/>
            <w:vAlign w:val="bottom"/>
          </w:tcPr>
          <w:p>
            <w:pPr>
              <w:pStyle w:val="TableContents"/>
              <w:bidi w:val="0"/>
              <w:spacing w:before="0" w:after="283"/>
              <w:jc w:val="left"/>
              <w:rPr/>
            </w:pPr>
            <w:r>
              <w:rPr/>
              <w:t> </w:t>
            </w:r>
          </w:p>
        </w:tc>
      </w:tr>
      <w:tr>
        <w:trPr/>
        <w:tc>
          <w:tcPr>
            <w:tcW w:w="591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22,509,000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25,885,350</w:t>
            </w:r>
          </w:p>
        </w:tc>
        <w:tc>
          <w:tcPr>
            <w:tcW w:w="62" w:type="dxa"/>
            <w:tcBorders/>
            <w:vAlign w:val="bottom"/>
          </w:tcPr>
          <w:p>
            <w:pPr>
              <w:pStyle w:val="TableContents"/>
              <w:bidi w:val="0"/>
              <w:spacing w:before="0" w:after="283"/>
              <w:jc w:val="left"/>
              <w:rPr/>
            </w:pPr>
            <w:r>
              <w:rPr/>
              <w:t> </w:t>
            </w:r>
          </w:p>
        </w:tc>
      </w:tr>
      <w:tr>
        <w:trPr/>
        <w:tc>
          <w:tcPr>
            <w:tcW w:w="5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19.27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352,641,000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405,537,150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$500,000. We have agreed to reimburse the underwriters for expenses relating to clearance of this offering with the Financial Industry Regulatory Authority up to $25,000.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Select Market under the trading symbol “DYN.”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that, during the period ending 60 days after the date of this prospectus supplement, which we refer to as the “restricted period”,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of 1933, as amended, or the Securities Act, relating to, any shares of our common stock or any securities convertible into or exercisable or exchangeable for shares of our common stock, or publicly disclose the intention to undertake any of the foregoing, or (ii) enter into any swap, hedging or other agreement that transfers, in whole or in part, any of the economic consequences of ownership of the shares of common stock or any such other securities, whether any such transaction described in clause (i) or (ii) above is to be settled by delivery of shares of common stock or such other securities, in cash or otherwise, without the prior written consent of Morgan Stanley &amp; Co. LLC and Jefferies LLC, other than the shares of our common stock to be sold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on our actions described above do not apply to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 supplement; (ii) grants of stock options, stock awards, restricted stock, restricted stock units,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supplement, provided that we shall cause each newly appointed director or executive officer that is a recipient of such shares of our common stock or other of our securities to enter into a lock-up agreement with the underwriters; (iii) our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 (iv) the sale of shares of our common stock in “at-the-market” offerings pursuant to that Open Market Sale Agreement, by and between us and Jefferies LLC, dated November 4, 2021, as amended from time to time, or the Sales Agreement; provided, that no sales shall be made until 30 days from the date of this prospectus supplement; (v) shares of our common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(v) shall not exceed five percent (5%) of the total number of outstanding shares of our common stock immediately following the issuance and sale of the common stock pursuant hereto and (y) the recipient of any such shares of our common stock or other securities issued pursuant to this clause (v) during the restricted period described above shall enter into an agreement substantially in the form of the lock-up agreement. </w:t>
      </w:r>
    </w:p>
    <w:p>
      <w:pPr>
        <w:pStyle w:val="TextBody"/>
        <w:bidi w:val="0"/>
        <w:spacing w:before="240" w:after="0"/>
        <w:jc w:val="both"/>
        <w:rPr>
          <w:rFonts w:ascii="Times New Roman" w:hAnsi="Times New Roman"/>
          <w:sz w:val="20"/>
        </w:rPr>
      </w:pPr>
      <w:r>
        <w:rPr>
          <w:rFonts w:ascii="Times New Roman" w:hAnsi="Times New Roman"/>
          <w:sz w:val="20"/>
        </w:rPr>
        <w:t xml:space="preserve">Our directors and officers, each of which we refer to as a “lock-up party,” have agreed that, without the prior written consent of Morgan Stanley &amp; Co. LLC and Jefferies LLC on behalf of the underwriters, they will not, and will cause any direct or indirect affiliate to not, during the restricted period: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without limitation, common stock or such other securities which may be deemed to be beneficially owned by the lock-up party in accordance with the rules and regulations of the SEC and securities which may be issued upon exercise of a stock option or warrant), or the “lock-up securities” (provided that with respect to directors who are affiliated with our stockholders, such lockups do not pertain to securities held by such stockholders); (ii) enter into any hedging, swap or other agreement or transaction that transfers, in whole or in part, any of the economic consequences of ownership of the lock-up securities, whether any such transaction described in clause (i) or (ii) is to be settled by delivery of lock-up securities, in cash or otherwise; (iii) make any demand for or exercise any right with respect to the registration of any lock-up securities, or (iv) publicly disclose the intention to do any of the foregoing.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in the immediately preceding paragraph to do not apply to: (a) the transfer or disposition of the lock-up party’s lock-up securities (i) as a bona fide gift or gifts, or for bona fide estate planning purposes, (ii) by will, other testamentary document or intestacy, (iii) to any trust for the direct or indirect benefit of the lock-up party or the immediate family of the lock-up party, or if the lock-up party is a trust, to a trustor or beneficiary of the trust or to the estate of a beneficiary of such trust, (iv) to a corporation, partnership, limited liability company, trust or other entity of which the lock-up party and/or one or more members of the immediate family of the lock-up party are, directly or indirectly,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or other transfer to general or limited partners, members or shareholders, or other holders of equity in, the lock-up party, (vii) by operation of law, such as pursuant to a qualified domestic order, divorce settlement, divorce decree, separation agreement or court order, (viii) to us from an employee or other service provider of ours upon death, disability or termination of employment or service relationship, in each case, of such employee or service provider, (ix) as part of a sale of the lock-up party’s lock-up securities acquired in this offering (other than, in the case of an officer or director of ours, any shares of common stock such officer or director may purchase in this offering) or in open market transactions after the closing date for this offering, (x) 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 granted under a stock incentive plan or other equity award plan or other arrangement, (xi) 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lock-up party’s lock-up securities shall remain subject to the provisions of the lock-up agreement, or (xii) pursuant to a contract, instruction or plan that met the requirements of Rule 10b5-1 under the Exchange Act on the date such contract, instruction or plan was entered into or adopted, or a 10b5-1 Plan; provided that such 10b5-1 Plan was established prior to the execution of the lock-up agreement by the lock-up party, the existence and details of such 10b5-1 Plan were communicated to the representatives and such 10b5-1 Plan will not be amended or otherwise modified during the restricted period; provided, further, that any filing under Section 16(a) of the Exchange Act in connection with such transfer shall indicate, to the extent permitted by such section and the related rules and regulations, that such transfer was pursuant to a 10b5-1 Plan; provided that (A) in the case of any transfer, disposition or distribution pursuant to clause (a)(i), (ii), (iii), (iv), (v), (vi) and (vii), such transfer shall not involve a disposition for value and each donee, devisee, transferee or distributee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execute and deliver to the representatives a lock-up agreement, (B) in the case of any transfer or distribution pursuant to clause (a) (ii), (iii), (iv), (v), (vi) and (ix), no filing by any party (donor, donee, devisee, transferor, transferee, distributer or distributee) under the Exchange Act, or other public announcement shall be required or shall be made voluntarily in connection with such transfer or distribution (other than a filing on a Form 5 or any required Schedule 13F, Schedule 13G or Schedule 13G/A, in each case made after the expiration of the restricted period referred to above) and (C) in the case of any transfer, disposition or distribution pursuant to clause (a)(i),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of such transfer; (b) the exercise of outstanding options, the settlement of restricted stock units or other equity awards granted pursuant to plans or other equity compensation arrangements or exercise warrants; provided that any lock-up securities received upon such exercise, vesting or settlement shall be subject to the terms of the lock-up agreement; (c) the conversion of convertible securities or warrants to acquire shares of common stock into shares of common stock; provided that any such shares of common stock or warrants received upon such conversion shall be subject to the terms of the lock-up agreement; and (d) the establishment of one or more trading plans pursuant to Rule 10b5-1 under the Exchange Act for the transfer or disposition of lock-up securities; provided that (1) such plans do not provide for the transfer or disposition of lock-up securities during the restricted period, (2) no filing or public announcement shall be made voluntarily in connection with such trading plan and (3) any required public announcement or filing under the Exchange Act made by the lock-up party, us or any other person regarding the establishment of such trading plan during the restricted period shall include a statement that the lock-up party is not permitted to transfer, sell or otherwise dispose of securities under such trading plan during the restricted period in contravention of the lock-up agreement.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Jefferies LLC,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certain of the underwriters also served as underwriters in our public offerings in January 2024, May 2024, June 2025 and December 2025. We also entered into the Sales Agreement with Jefferies LLC in November 2021.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or, each a Relevant State, no shares of common stock have been offered or will have been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0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08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of common stock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prior to the publication of a prospectus in relation to the common stock which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approved by the Financial Conduct Authority, except that the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(i) the offer is conditional on the admission of the common stock to trading on the London Stock Exchange plc’s main market (in reliance on the exception in paragraph 6(a) of Schedule 1 of the POATR) or (ii) the shares of common stock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common stock in the United Kingdom means the communication to any person which presents sufficient information on: (a) the shares of common stock to be offered; and (b) the terms on which they are to be offered, to enable an investor to decide to buy or subscribe for the and the expression “POATR”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both"/>
        <w:rPr>
          <w:rFonts w:ascii="Times New Roman" w:hAnsi="Times New Roman"/>
          <w:sz w:val="20"/>
        </w:rPr>
      </w:pPr>
      <w:r>
        <w:rPr>
          <w:rFonts w:ascii="Times New Roman" w:hAnsi="Times New Roman"/>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common stock may not be publicly offered in Switzerland and will not be listed on the SIX Swiss Exchange, or SIX, or on any other stock exchange or regulated trading facility in Switzerland. This prospectus supplement or the accompanying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the accompanying prospectus nor any other offering or marketing material relating to the common stock or the offering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Neither this prospectus supplement nor the accompanying prospectus, nor any other offering or marketing material relating to the offering, us or the common stock have been or will be filed with or approved by any Swiss regulatory authority. In particular, this prospectus supplement and the accompanying prospectus will not be filed with, and the offer of common stock will not be supervised by, the Swiss Financial Market Supervisory Authority, or FINMA, and the offer of common stock has not been and will not be authorized under the Swiss Federal Act on Collective Investment Schemes, or CISA. The investor protection afforded to acquirers of interests in collective investment schemes under the CISA does not extend to acquirers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(DIFC)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and the accompanying prospectus relates to an Exempt Offer in accordance with the Markets Rules 2012 of the Dubai Financial Services Authority (DFSA). This prospectus supplement and the accompanying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the accompanying prospectus nor taken steps to verify the information set forth herein and has no responsibility for this prospectus supplement or the accompanying prospectus. The securities to which this prospectus supplement and the accompanying prospectus relates may be illiquid and/or subject to restrictions on their resale. Prospective purchasers of the securities offered should conduct their own due diligence on the securities. If you do not understand the contents of this prospectus supplement or the accompanying prospectus you should consult an authorized financial advisor.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its use in the DIFC, this prospectus supplement and the accompanying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or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 </w:t>
      </w:r>
    </w:p>
    <w:p>
      <w:pPr>
        <w:pStyle w:val="TextBody"/>
        <w:bidi w:val="0"/>
        <w:spacing w:before="240" w:after="0"/>
        <w:jc w:val="both"/>
        <w:rPr>
          <w:rFonts w:ascii="Times New Roman" w:hAnsi="Times New Roman"/>
          <w:sz w:val="20"/>
        </w:rPr>
      </w:pPr>
      <w:r>
        <w:rPr>
          <w:rFonts w:ascii="Times New Roman" w:hAnsi="Times New Roman"/>
          <w:sz w:val="20"/>
        </w:rPr>
        <w:t xml:space="preserve">As any offer of common stock under this prospectus supplement or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New Zealand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whose principal business is the investment of money or who, in the course of and for the purposes of their business, habitually invest money;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 in all the circumstances can properly be regarded as having been selected otherwise than as members of the public;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 are each required to pay a minimum subscription price of at least NZ$500,000 for the shares before the allotment of those shares (disregarding any amounts payable, or paid, out of money lent by the issuer or any associated person of the issuer);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other circumstances where there is no contravention of the Securities Act 1978 of New Zealand (or any statutory modification or re-enactment of, or statutory substitution for, the Securities Act 1978 of New Zealand).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both"/>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of common stock, we have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both"/>
        <w:rPr>
          <w:rFonts w:ascii="Times New Roman" w:hAnsi="Times New Roman"/>
          <w:sz w:val="20"/>
        </w:rPr>
      </w:pPr>
      <w:r>
        <w:rPr>
          <w:rFonts w:ascii="Times New Roman" w:hAnsi="Times New Roman"/>
          <w:sz w:val="20"/>
        </w:rPr>
        <w:t xml:space="preserve">Each underwriter has acknowledged that this prospectus supplement or the accompanying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supplement or the accompanying prospectus or any other document or material in connection with the offer or sale, or invitation for subscription or purchase, of the common stock,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(ii)</w:t>
            </w:r>
          </w:p>
        </w:tc>
        <w:tc>
          <w:tcPr>
            <w:tcW w:w="90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09"/>
        <w:gridCol w:w="9088"/>
      </w:tblGrid>
      <w:tr>
        <w:trPr/>
        <w:tc>
          <w:tcPr>
            <w:tcW w:w="508"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90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6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6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6"/>
        <w:gridCol w:w="8677"/>
      </w:tblGrid>
      <w:tr>
        <w:trPr/>
        <w:tc>
          <w:tcPr>
            <w:tcW w:w="1122"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8"/>
        <w:gridCol w:w="8675"/>
      </w:tblGrid>
      <w:tr>
        <w:trPr/>
        <w:tc>
          <w:tcPr>
            <w:tcW w:w="112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67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the accompanying prospectus supplement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98164_9"/>
      <w:bookmarkEnd w:id="11"/>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our common stock offered hereby is being passed upon for us by Wilmer Cutler Pickering Hale and Dorr LLP, Boston, Massachusetts. Cooley LLP, New York, New York is acting as counsel for the underwriters in connection with this offering. </w:t>
      </w:r>
    </w:p>
    <w:p>
      <w:pPr>
        <w:pStyle w:val="TextBody"/>
        <w:bidi w:val="0"/>
        <w:spacing w:before="480" w:after="0"/>
        <w:jc w:val="center"/>
        <w:rPr>
          <w:rFonts w:ascii="Times New Roman" w:hAnsi="Times New Roman"/>
          <w:b/>
          <w:sz w:val="20"/>
        </w:rPr>
      </w:pPr>
      <w:bookmarkStart w:id="12" w:name="supptoc98164_10"/>
      <w:bookmarkEnd w:id="12"/>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of Dyne Therapeutics, Inc. as of December 31, 2025 and 2024 and for each of the three years in the period ended December 31, 2025, incorporated by reference in this prospectus supplement, and the effectiveness of Dyne Therapeutics,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98164_11"/>
      <w:bookmarkEnd w:id="13"/>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https://www.dyne-tx.com/. Our website is not a part of this prospectus and information contained on, or that can be accessed through, our website is not incorporated by reference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and the accompanying prospectus are part of a registration statement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about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480" w:after="0"/>
        <w:jc w:val="center"/>
        <w:rPr>
          <w:rFonts w:ascii="Times New Roman" w:hAnsi="Times New Roman"/>
          <w:b/>
          <w:sz w:val="20"/>
        </w:rPr>
      </w:pPr>
      <w:bookmarkStart w:id="14" w:name="supptoc98164_12"/>
      <w:bookmarkEnd w:id="14"/>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001-39509) and any future filings we make with the SEC under Sections 13(a), 13(c), 14 or 15(d) of the Exchange Act (in each case, other than those documents or the portions of those documents not deemed to be filed)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Form 10-K for the fiscal year ended December 31, 2025, as filed with the SEC on </w:t>
            </w:r>
            <w:hyperlink r:id="rId3">
              <w:r>
                <w:rPr>
                  <w:rStyle w:val="InternetLink"/>
                  <w:rFonts w:ascii="Times New Roman" w:hAnsi="Times New Roman"/>
                  <w:sz w:val="20"/>
                </w:rPr>
                <w:t>March 2, 2026</w:t>
              </w:r>
            </w:hyperlink>
            <w:r>
              <w:rPr>
                <w:rFonts w:ascii="Times New Roman" w:hAnsi="Times New Roman"/>
                <w:sz w:val="20"/>
              </w:rPr>
              <w:t xml:space="preserve">, including the information specifically incorporated by reference into the Annual Report on Form 10-K from our definitive proxy statement for the 2026 Annual Meeting of Stockholders, as filed with the SEC on </w:t>
            </w:r>
            <w:hyperlink r:id="rId4">
              <w:r>
                <w:rPr>
                  <w:rStyle w:val="InternetLink"/>
                  <w:rFonts w:ascii="Times New Roman" w:hAnsi="Times New Roman"/>
                  <w:sz w:val="20"/>
                </w:rPr>
                <w:t>April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Quarterly Report on Form 10-Q for the quarterly period ended March 31, 2026, as filed with the SEC on </w:t>
            </w:r>
            <w:hyperlink r:id="rId5">
              <w:r>
                <w:rPr>
                  <w:rStyle w:val="InternetLink"/>
                  <w:rFonts w:ascii="Times New Roman" w:hAnsi="Times New Roman"/>
                  <w:sz w:val="20"/>
                </w:rPr>
                <w:t>May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Current Reports on Form 8-K as filed with the SEC on </w:t>
            </w:r>
            <w:hyperlink r:id="rId6">
              <w:r>
                <w:rPr>
                  <w:rStyle w:val="InternetLink"/>
                  <w:rFonts w:ascii="Times New Roman" w:hAnsi="Times New Roman"/>
                  <w:sz w:val="20"/>
                </w:rPr>
                <w:t>June 3, 2026</w:t>
              </w:r>
            </w:hyperlink>
            <w:r>
              <w:rPr>
                <w:rFonts w:ascii="Times New Roman" w:hAnsi="Times New Roman"/>
                <w:sz w:val="20"/>
              </w:rPr>
              <w:t xml:space="preserve"> (Item 8.01 only), </w:t>
            </w:r>
            <w:hyperlink r:id="rId7">
              <w:r>
                <w:rPr>
                  <w:rStyle w:val="InternetLink"/>
                  <w:rFonts w:ascii="Times New Roman" w:hAnsi="Times New Roman"/>
                  <w:sz w:val="20"/>
                </w:rPr>
                <w:t>June  8, 2026</w:t>
              </w:r>
            </w:hyperlink>
            <w:r>
              <w:rPr>
                <w:rFonts w:ascii="Times New Roman" w:hAnsi="Times New Roman"/>
                <w:sz w:val="20"/>
              </w:rPr>
              <w:t xml:space="preserve">, </w:t>
            </w:r>
            <w:hyperlink r:id="rId8">
              <w:r>
                <w:rPr>
                  <w:rStyle w:val="InternetLink"/>
                  <w:rFonts w:ascii="Times New Roman" w:hAnsi="Times New Roman"/>
                  <w:sz w:val="20"/>
                </w:rPr>
                <w:t>June  17, 2026</w:t>
              </w:r>
            </w:hyperlink>
            <w:r>
              <w:rPr>
                <w:rFonts w:ascii="Times New Roman" w:hAnsi="Times New Roman"/>
                <w:sz w:val="20"/>
              </w:rPr>
              <w:t xml:space="preserve">, </w:t>
            </w:r>
            <w:hyperlink r:id="rId9">
              <w:r>
                <w:rPr>
                  <w:rStyle w:val="InternetLink"/>
                  <w:rFonts w:ascii="Times New Roman" w:hAnsi="Times New Roman"/>
                  <w:sz w:val="20"/>
                </w:rPr>
                <w:t>June  22, 2026</w:t>
              </w:r>
            </w:hyperlink>
            <w:r>
              <w:rPr>
                <w:rFonts w:ascii="Times New Roman" w:hAnsi="Times New Roman"/>
                <w:sz w:val="20"/>
              </w:rPr>
              <w:t xml:space="preserve"> and </w:t>
            </w:r>
            <w:hyperlink r:id="rId10">
              <w:r>
                <w:rPr>
                  <w:rStyle w:val="InternetLink"/>
                  <w:rFonts w:ascii="Times New Roman" w:hAnsi="Times New Roman"/>
                  <w:sz w:val="20"/>
                </w:rPr>
                <w:t>July 20,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description of our common stock contained in our Registration Statement on Form 8-A as filed with the SEC on </w:t>
            </w:r>
            <w:hyperlink r:id="rId11">
              <w:r>
                <w:rPr>
                  <w:rStyle w:val="InternetLink"/>
                  <w:rFonts w:ascii="Times New Roman" w:hAnsi="Times New Roman"/>
                  <w:sz w:val="20"/>
                </w:rPr>
                <w:t>September 11, 2020</w:t>
              </w:r>
            </w:hyperlink>
            <w:r>
              <w:rPr>
                <w:rFonts w:ascii="Times New Roman" w:hAnsi="Times New Roman"/>
                <w:sz w:val="20"/>
              </w:rPr>
              <w:t xml:space="preserve">, as the description therein has been updated and superseded by the description of our capital stock contained in </w:t>
            </w:r>
            <w:hyperlink r:id="rId12">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2020, as filed with the SEC on </w:t>
            </w:r>
            <w:hyperlink r:id="rId13">
              <w:r>
                <w:rPr>
                  <w:rStyle w:val="InternetLink"/>
                  <w:rFonts w:ascii="Times New Roman" w:hAnsi="Times New Roman"/>
                  <w:sz w:val="20"/>
                </w:rPr>
                <w:t>March 4, 2021</w:t>
              </w:r>
            </w:hyperlink>
            <w:r>
              <w:rPr>
                <w:rFonts w:ascii="Times New Roman" w:hAnsi="Times New Roman"/>
                <w:sz w:val="20"/>
              </w:rPr>
              <w:t xml:space="preserve">, and including any amendments and reports filed for the purpose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You may request a copy of these documents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1560 Trapelo Road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(781) 786-8230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7715" cy="63246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14"/>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“DYN.”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w:t>
      </w:r>
      <w:hyperlink w:anchor="toca98164_5">
        <w:r>
          <w:rPr>
            <w:rStyle w:val="InternetLink"/>
            <w:rFonts w:ascii="Times New Roman" w:hAnsi="Times New Roman"/>
            <w:b/>
            <w:sz w:val="24"/>
          </w:rPr>
          <w:t>Risk Factors</w:t>
        </w:r>
      </w:hyperlink>
      <w:r>
        <w:rPr>
          <w:rFonts w:ascii="Times New Roman" w:hAnsi="Times New Roman"/>
          <w:b/>
          <w:sz w:val="24"/>
        </w:rPr>
        <w:t xml:space="preserve">” included on page 5 of this prospectus,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a9816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Securities and Exchange Commission, or the SEC, as a “well-known seasoned issuer” as defined in Rule 405 under the Securities Act of 1933, as amended, or the Securities Act. Under this shelf registration statement,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“we,” “our” and “us” refer, collectively, to Dyne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a98164_2"/>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www.dyne-tx.com. Our website is not a part of this prospectus and the information contained on, or accessible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480" w:after="0"/>
        <w:jc w:val="center"/>
        <w:rPr>
          <w:rFonts w:ascii="Times New Roman" w:hAnsi="Times New Roman"/>
          <w:b/>
          <w:sz w:val="20"/>
        </w:rPr>
      </w:pPr>
      <w:bookmarkStart w:id="17" w:name="toca98164_3"/>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001-39509)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2023, as filed with the SEC on </w:t>
            </w:r>
            <w:hyperlink r:id="rId15">
              <w:r>
                <w:rPr>
                  <w:rStyle w:val="InternetLink"/>
                  <w:rFonts w:ascii="Times New Roman" w:hAnsi="Times New Roman"/>
                  <w:sz w:val="20"/>
                </w:rPr>
                <w:t>March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included in our definitive proxy statement on Schedule 14A for the 2023 Annual Meeting of Stockholders, as filed with the SEC on </w:t>
            </w:r>
            <w:hyperlink r:id="rId16">
              <w:r>
                <w:rPr>
                  <w:rStyle w:val="InternetLink"/>
                  <w:rFonts w:ascii="Times New Roman" w:hAnsi="Times New Roman"/>
                  <w:sz w:val="20"/>
                </w:rPr>
                <w:t>April 7, 2023</w:t>
              </w:r>
            </w:hyperlink>
            <w:r>
              <w:rPr>
                <w:rFonts w:ascii="Times New Roman" w:hAnsi="Times New Roman"/>
                <w:sz w:val="20"/>
              </w:rPr>
              <w:t xml:space="preserve">, to the extent incorporated by reference into Part III of our Annual Report on Form 10-K 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as filed with the SEC on </w:t>
            </w:r>
            <w:hyperlink r:id="rId17">
              <w:r>
                <w:rPr>
                  <w:rStyle w:val="InternetLink"/>
                  <w:rFonts w:ascii="Times New Roman" w:hAnsi="Times New Roman"/>
                  <w:sz w:val="20"/>
                </w:rPr>
                <w:t>January  3, 2024 (Item 8.01 only)</w:t>
              </w:r>
            </w:hyperlink>
            <w:r>
              <w:rPr>
                <w:rFonts w:ascii="Times New Roman" w:hAnsi="Times New Roman"/>
                <w:sz w:val="20"/>
              </w:rPr>
              <w:t xml:space="preserve">, </w:t>
            </w:r>
            <w:hyperlink r:id="rId18">
              <w:r>
                <w:rPr>
                  <w:rStyle w:val="InternetLink"/>
                  <w:rFonts w:ascii="Times New Roman" w:hAnsi="Times New Roman"/>
                  <w:sz w:val="20"/>
                </w:rPr>
                <w:t>January  4, 2024</w:t>
              </w:r>
            </w:hyperlink>
            <w:r>
              <w:rPr>
                <w:rFonts w:ascii="Times New Roman" w:hAnsi="Times New Roman"/>
                <w:sz w:val="20"/>
              </w:rPr>
              <w:t xml:space="preserve"> and </w:t>
            </w:r>
            <w:hyperlink r:id="rId19">
              <w:r>
                <w:rPr>
                  <w:rStyle w:val="InternetLink"/>
                  <w:rFonts w:ascii="Times New Roman" w:hAnsi="Times New Roman"/>
                  <w:sz w:val="20"/>
                </w:rPr>
                <w:t>January 5,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as filed with the SEC on </w:t>
            </w:r>
            <w:hyperlink r:id="rId20">
              <w:r>
                <w:rPr>
                  <w:rStyle w:val="InternetLink"/>
                  <w:rFonts w:ascii="Times New Roman" w:hAnsi="Times New Roman"/>
                  <w:sz w:val="20"/>
                </w:rPr>
                <w:t>September 11, 2020</w:t>
              </w:r>
            </w:hyperlink>
            <w:r>
              <w:rPr>
                <w:rFonts w:ascii="Times New Roman" w:hAnsi="Times New Roman"/>
                <w:sz w:val="20"/>
              </w:rPr>
              <w:t xml:space="preserve">, as the description therein has been updated and superseded by the description of our capital stock contained in </w:t>
            </w:r>
            <w:hyperlink r:id="rId21">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2020, as filed with the SEC on </w:t>
            </w:r>
            <w:hyperlink r:id="rId22">
              <w:r>
                <w:rPr>
                  <w:rStyle w:val="InternetLink"/>
                  <w:rFonts w:ascii="Times New Roman" w:hAnsi="Times New Roman"/>
                  <w:sz w:val="20"/>
                </w:rPr>
                <w:t>March 4, 2021</w:t>
              </w:r>
            </w:hyperlink>
            <w:r>
              <w:rPr>
                <w:rFonts w:ascii="Times New Roman" w:hAnsi="Times New Roman"/>
                <w:sz w:val="20"/>
              </w:rPr>
              <w:t xml:space="preserve">,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1560 Trapelo Road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(781) 786-8230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a98164_4"/>
      <w:bookmarkEnd w:id="18"/>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within the meaning of Section 27A of the Securities Act of 1933, as amended, and Section 21E of the Securities Exchange Act of 1934, as amended. All statements, other than statements of historical fact, contained in this prospectus or incorporated by reference 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or the negative of these words or other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of the submission and clearance of investigational new drug applications, or INDs, and comparable foreign applications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need for additional financing and the period over which we believe our cash, cash equivalents and marketable securities, will be sufficient to fund our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if approved, subsequently commercialize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submit applications for, obtain and maintain regulatory approvals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advantages of our FORCE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and our expectations regarding our ability to obtain and maintain intellectual property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expectations regarding developments and projections relating to our competitors and any competing therapies that are or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or obtain additional funding;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Jumpstart Our Business Startups Act, or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stockholders should not place undue reliance on our forward-looking statements. Actual results or events could differ materially from the plans, intentions and expectations disclosed in the forward-looking statements we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information incorporated by reference herein completely and with the understanding that our actual future results may be materially different from what we expect. The forward-looking statements contained in this prospectus and incorporated by reference herein are made as of the date when made.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include statistical and other industry and market data that we obtained from industry publications and research, surveys and studies conducted by third parties. All of the market data used in this prospectus and the information incorporated by reference herein involves a number of assumptions and limitations, and you are cautioned not to give undue weight to such data. We believe that the information from these industry publications, surveys and studies is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a98164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a98164_6"/>
      <w:bookmarkEnd w:id="20"/>
      <w:r>
        <w:rPr>
          <w:rFonts w:ascii="Times New Roman" w:hAnsi="Times New Roman"/>
          <w:b/>
          <w:sz w:val="20"/>
        </w:rPr>
        <w:t xml:space="preserve">ABOUT DYNE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muscle disease company focused on advancing innovative life-transforming therapeutics for people living with genetically driven diseases. We are utilizing our proprietary FORCE platform to overcome the current limitations of muscle tissue delivery and advance modern oligonucleotide therapeutics for muscle diseases. Our proprietary FORCE platform therapeutics consist of an oligonucleotide payload that we rationally design to target the genetic basis of the disease we are seeking to treat, a clinically validated linker and an antigen-binding fragment, or Fab, that we attach to the payload using the linker. With our FORCE platform, we have the flexibility to deploy different types of oligonucleotide payloads with specific mechanisms of action that modify target functions. We leverage this modularity to focus on muscle diseases with high unmet need, with etiologic targets and with clear translational potential from preclinical disease models to well-defined clinical development and regulatory pathways. </w:t>
      </w:r>
    </w:p>
    <w:p>
      <w:pPr>
        <w:pStyle w:val="TextBody"/>
        <w:bidi w:val="0"/>
        <w:spacing w:before="240" w:after="0"/>
        <w:jc w:val="left"/>
        <w:rPr>
          <w:rFonts w:ascii="Times New Roman" w:hAnsi="Times New Roman"/>
          <w:sz w:val="20"/>
        </w:rPr>
      </w:pPr>
      <w:r>
        <w:rPr>
          <w:rFonts w:ascii="Times New Roman" w:hAnsi="Times New Roman"/>
          <w:sz w:val="20"/>
        </w:rPr>
        <w:t xml:space="preserve">Using our FORCE platform, we are assembling a broad portfolio of muscle disease therapeutics, including our programs in myotonic dystrophy type 1, or DM1, Duchenne muscular dystrophy, or DMD, and facioscapulohumeral dystrophy, or FSHD. In addition, we plan to expand our portfolio through development efforts focused on rare skeletal muscle diseases, as well as cardiac and metabolic muscle diseases, including some with larger patient populations, and diseases involving the central nervous system. We have identified product candidates for each of our DM1, DMD and FSHD programs that are in varying stages of preclinical and clinical development. </w:t>
      </w:r>
    </w:p>
    <w:p>
      <w:pPr>
        <w:pStyle w:val="TextBody"/>
        <w:bidi w:val="0"/>
        <w:spacing w:before="240" w:after="0"/>
        <w:jc w:val="left"/>
        <w:rPr>
          <w:rFonts w:ascii="Times New Roman" w:hAnsi="Times New Roman"/>
          <w:sz w:val="20"/>
        </w:rPr>
      </w:pPr>
      <w:r>
        <w:rPr>
          <w:rFonts w:ascii="Times New Roman" w:hAnsi="Times New Roman"/>
          <w:sz w:val="20"/>
        </w:rPr>
        <w:t>Our principal executive offices are located at 1560 Trapelo Road, Waltham, MA 02451, and our telephone number is (781) 786-8230.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a98164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a98164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terms and provisions of the debt securities that Dyne Therapeutics, Inc.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Dyne Therapeutics, Inc. excluding, unless the context otherwise requires or as otherwise expressly stated,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the debt securities if other than $1,000 or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 xml:space="preserve">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240" w:after="0"/>
        <w:jc w:val="left"/>
        <w:rPr>
          <w:rFonts w:ascii="Times New Roman" w:hAnsi="Times New Roman"/>
          <w:sz w:val="20"/>
        </w:rPr>
      </w:pPr>
      <w:r>
        <w:rPr>
          <w:rFonts w:ascii="Times New Roman" w:hAnsi="Times New Roman"/>
          <w:i/>
          <w:sz w:val="20"/>
        </w:rPr>
        <w:t xml:space="preserve">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or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other securities or property in accordance with the terms of the senior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 xml:space="preserve">Notice of Redemption. </w:t>
      </w:r>
      <w:r>
        <w:rPr>
          <w:rFonts w:ascii="Times New Roman" w:hAnsi="Times New Roman"/>
          <w:sz w:val="20"/>
        </w:rPr>
        <w:t xml:space="preserve">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before="240" w:after="0"/>
        <w:jc w:val="left"/>
        <w:rPr>
          <w:rFonts w:ascii="Times New Roman" w:hAnsi="Times New Roman"/>
          <w:sz w:val="20"/>
        </w:rPr>
      </w:pPr>
      <w:r>
        <w:rPr>
          <w:rFonts w:ascii="Times New Roman" w:hAnsi="Times New Roman"/>
          <w:i/>
          <w:sz w:val="20"/>
        </w:rPr>
        <w:t xml:space="preserve">Conversion Rights. </w:t>
      </w:r>
      <w:r>
        <w:rPr>
          <w:rFonts w:ascii="Times New Roman" w:hAnsi="Times New Roman"/>
          <w:sz w:val="20"/>
        </w:rPr>
        <w:t xml:space="preserve">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before="240" w:after="0"/>
        <w:jc w:val="left"/>
        <w:rPr>
          <w:rFonts w:ascii="Times New Roman" w:hAnsi="Times New Roman"/>
          <w:sz w:val="20"/>
        </w:rPr>
      </w:pPr>
      <w:r>
        <w:rPr>
          <w:rFonts w:ascii="Times New Roman" w:hAnsi="Times New Roman"/>
          <w:i/>
          <w:sz w:val="20"/>
        </w:rPr>
        <w:t xml:space="preserve">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 xml:space="preserve">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 xml:space="preserve">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 xml:space="preserve">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a98164_9"/>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our authorized capital stock consists of 200,000,000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our board of directors, subject to any preferential dividend rights of outstanding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the common stock have no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stock into any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stock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additional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their proportionate ownership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shares of the common stock are not required to make additional capital contributions.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Computershare Trust Company, N.A. is transfer agent and registrar for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amended and restated investors’ rights agreement dated as of August 7, 2020, or the investors’ rights agreement, with certain holders of our common stock. These holders have the right to require us to register these shares under the Securities Act upon demand and in connection with any registration statement that we plan to file, as described below under “—Demand registration rights” and “—Incidental registration rights.” We refer to the shares with these registration rights as registrable securities. After registration pursuant to these rights, the registrable securities will become freely tradable without restriction under the Securities Act. </w:t>
      </w:r>
    </w:p>
    <w:p>
      <w:pPr>
        <w:pStyle w:val="TextBody"/>
        <w:bidi w:val="0"/>
        <w:spacing w:before="24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Under the investors’ rights agreement, subject to specified limitations set forth therein, certain holders of at least 30% of the registrable securities then outstanding may request that we register their registrable securities on Form S-3 for purposes of a public offering for which the anticipated aggregate offering price to the public would exceed, net of selling expenses, $10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use our commercially reasonable efforts to cause such registration statements to become effective. </w:t>
      </w:r>
    </w:p>
    <w:p>
      <w:pPr>
        <w:pStyle w:val="TextBody"/>
        <w:bidi w:val="0"/>
        <w:spacing w:before="240" w:after="0"/>
        <w:jc w:val="left"/>
        <w:rPr>
          <w:rFonts w:ascii="Times New Roman" w:hAnsi="Times New Roman"/>
          <w:sz w:val="20"/>
        </w:rPr>
      </w:pPr>
      <w:r>
        <w:rPr>
          <w:rFonts w:ascii="Times New Roman" w:hAnsi="Times New Roman"/>
          <w:i/>
          <w:sz w:val="20"/>
        </w:rPr>
        <w:t>Incidental registration rights</w:t>
      </w:r>
      <w:r>
        <w:rPr>
          <w:rFonts w:ascii="Times New Roman" w:hAnsi="Times New Roman"/>
          <w:sz w:val="20"/>
        </w:rPr>
        <w:t xml:space="preserve">. If we propose to register for our own account any of our securities under the Securities Act, the holders of registrable securities 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registration in which the holders of registrable securities participate pursuant to our investors’ rights agreement is an underwritten public offering, we have agreed to enter into an underwriting agreement in usual and customary form. </w:t>
      </w:r>
    </w:p>
    <w:p>
      <w:pPr>
        <w:pStyle w:val="TextBody"/>
        <w:bidi w:val="0"/>
        <w:spacing w:before="240" w:after="0"/>
        <w:jc w:val="left"/>
        <w:rPr>
          <w:rFonts w:ascii="Times New Roman" w:hAnsi="Times New Roman"/>
          <w:sz w:val="20"/>
        </w:rPr>
      </w:pPr>
      <w:r>
        <w:rPr>
          <w:rFonts w:ascii="Times New Roman" w:hAnsi="Times New Roman"/>
          <w:i/>
          <w:sz w:val="20"/>
        </w:rPr>
        <w:t>Expenses</w:t>
      </w:r>
      <w:r>
        <w:rPr>
          <w:rFonts w:ascii="Times New Roman" w:hAnsi="Times New Roman"/>
          <w:sz w:val="20"/>
        </w:rPr>
        <w:t xml:space="preserve">. Pursuant to the investors’ rights agreement, we are required to pay all registration expenses, including all registration, filing and qualification fees; printing and accounting fees; reasonable fees and disbursements not to exceed $35,000 of one counsel representing the selling stockholders; but excluding underwriting discounts, selling commissions and stock transfer taxes applicable to the sale of registrable securities and the fees and expenses of the selling stockholders’ own counsel (other than the counsel selected to represent all selling stockholders). 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Restated Certificate of Incorporation and Amended and Restated Bylaws and Delaware Law That May Have Anti-Takeover Effects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our restated certificate of incorporation and our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in the policies our board of directors implements,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w:t>
      </w:r>
    </w:p>
    <w:p>
      <w:pPr>
        <w:pStyle w:val="TextBody"/>
        <w:bidi w:val="0"/>
        <w:spacing w:before="240" w:after="0"/>
        <w:jc w:val="left"/>
        <w:rPr>
          <w:rFonts w:ascii="Times New Roman" w:hAnsi="Times New Roman"/>
          <w:sz w:val="20"/>
        </w:rPr>
      </w:pPr>
      <w:r>
        <w:rPr>
          <w:rFonts w:ascii="Times New Roman" w:hAnsi="Times New Roman"/>
          <w:i/>
          <w:sz w:val="20"/>
        </w:rPr>
        <w:t xml:space="preserve">No Cumulative Voting. </w:t>
      </w:r>
      <w:r>
        <w:rPr>
          <w:rFonts w:ascii="Times New Roman" w:hAnsi="Times New Roman"/>
          <w:sz w:val="20"/>
        </w:rPr>
        <w:t xml:space="preserve">The Delaware General Corporation Law, or DGCL, provides that stockholders are not entitled to the right to accumulate votes in the election of directors unless our restated certificate of incorporation provides otherwise. Our restated certificate of incorporation does not provide for cumulative voting.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Our restated certificate of incorporation and amended and restated bylaws provide for a board of directors divided as nearly equally as possible into three classes. Each class is elected to a term expiring at the annual meeting of stockholders held in the third year following the year of such election. The number of directors comprising our board of directors is fixed from time to time by the board of directors. </w:t>
      </w:r>
    </w:p>
    <w:p>
      <w:pPr>
        <w:pStyle w:val="TextBody"/>
        <w:bidi w:val="0"/>
        <w:spacing w:before="240" w:after="0"/>
        <w:jc w:val="left"/>
        <w:rPr>
          <w:rFonts w:ascii="Times New Roman" w:hAnsi="Times New Roman"/>
          <w:sz w:val="20"/>
        </w:rPr>
      </w:pPr>
      <w:r>
        <w:rPr>
          <w:rFonts w:ascii="Times New Roman" w:hAnsi="Times New Roman"/>
          <w:i/>
          <w:sz w:val="20"/>
        </w:rPr>
        <w:t>Removal of Directors by Stockholders</w:t>
      </w:r>
      <w:r>
        <w:rPr>
          <w:rFonts w:ascii="Times New Roman" w:hAnsi="Times New Roman"/>
          <w:sz w:val="20"/>
        </w:rPr>
        <w:t xml:space="preserve">. Delaware law provides that members of our board of directors may only be removed for cause by a vote of the holders of a majority of the outstanding shares entitled to vote on the election of the directors. </w:t>
      </w:r>
    </w:p>
    <w:p>
      <w:pPr>
        <w:pStyle w:val="TextBody"/>
        <w:bidi w:val="0"/>
        <w:spacing w:before="240" w:after="0"/>
        <w:jc w:val="left"/>
        <w:rPr>
          <w:rFonts w:ascii="Times New Roman" w:hAnsi="Times New Roman"/>
          <w:sz w:val="20"/>
        </w:rPr>
      </w:pPr>
      <w:r>
        <w:rPr>
          <w:rFonts w:ascii="Times New Roman" w:hAnsi="Times New Roman"/>
          <w:i/>
          <w:sz w:val="20"/>
        </w:rPr>
        <w:t>Board Vacancies Filled Only by Majority of Directors Then in Office</w:t>
      </w:r>
      <w:r>
        <w:rPr>
          <w:rFonts w:ascii="Times New Roman" w:hAnsi="Times New Roman"/>
          <w:sz w:val="20"/>
        </w:rPr>
        <w:t xml:space="preserve">. Vacancies and newly created seats on our board may be filled only by our board of directors. Further, only our board of directors may determine the number of directors on our board. </w:t>
      </w:r>
    </w:p>
    <w:p>
      <w:pPr>
        <w:pStyle w:val="TextBody"/>
        <w:bidi w:val="0"/>
        <w:spacing w:before="240" w:after="0"/>
        <w:jc w:val="left"/>
        <w:rPr>
          <w:rFonts w:ascii="Times New Roman" w:hAnsi="Times New Roman"/>
          <w:sz w:val="20"/>
        </w:rPr>
      </w:pPr>
      <w:r>
        <w:rPr>
          <w:rFonts w:ascii="Times New Roman" w:hAnsi="Times New Roman"/>
          <w:i/>
          <w:sz w:val="20"/>
        </w:rPr>
        <w:t>Stockholder Nomination of Directors</w:t>
      </w:r>
      <w:r>
        <w:rPr>
          <w:rFonts w:ascii="Times New Roman" w:hAnsi="Times New Roman"/>
          <w:sz w:val="20"/>
        </w:rPr>
        <w:t xml:space="preserve">. Our amended and restated bylaws provide that a stockholder must notify us in 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meeting and (y) the tenth day following the day on which public announcement of the date of such annual meeting is first made by us. </w:t>
      </w:r>
    </w:p>
    <w:p>
      <w:pPr>
        <w:pStyle w:val="TextBody"/>
        <w:bidi w:val="0"/>
        <w:spacing w:before="240" w:after="0"/>
        <w:jc w:val="left"/>
        <w:rPr>
          <w:rFonts w:ascii="Times New Roman" w:hAnsi="Times New Roman"/>
          <w:sz w:val="20"/>
        </w:rPr>
      </w:pPr>
      <w:r>
        <w:rPr>
          <w:rFonts w:ascii="Times New Roman" w:hAnsi="Times New Roman"/>
          <w:i/>
          <w:sz w:val="20"/>
        </w:rPr>
        <w:t>No Action By Written Consent</w:t>
      </w:r>
      <w:r>
        <w:rPr>
          <w:rFonts w:ascii="Times New Roman" w:hAnsi="Times New Roman"/>
          <w:sz w:val="20"/>
        </w:rPr>
        <w:t xml:space="preserve">. Our restated certificate of incorporation provides that our stockholders may not act by written consent and may only act at duly called meetings of stockholders. </w:t>
      </w:r>
    </w:p>
    <w:p>
      <w:pPr>
        <w:pStyle w:val="TextBody"/>
        <w:bidi w:val="0"/>
        <w:spacing w:before="240" w:after="0"/>
        <w:jc w:val="left"/>
        <w:rPr>
          <w:rFonts w:ascii="Times New Roman" w:hAnsi="Times New Roman"/>
          <w:sz w:val="20"/>
        </w:rPr>
      </w:pPr>
      <w:r>
        <w:rPr>
          <w:rFonts w:ascii="Times New Roman" w:hAnsi="Times New Roman"/>
          <w:i/>
          <w:sz w:val="20"/>
        </w:rPr>
        <w:t xml:space="preserve">Undesignated Preferred Stock. </w:t>
      </w:r>
      <w:r>
        <w:rPr>
          <w:rFonts w:ascii="Times New Roman" w:hAnsi="Times New Roman"/>
          <w:sz w:val="20"/>
        </w:rPr>
        <w:t xml:space="preserve">As discussed above, our board of directors has the ability to issue preferred stock with voting or other rights or preferences that could impede the success of any attempt to change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Delaware Business Combination Statute. </w:t>
      </w:r>
      <w:r>
        <w:rPr>
          <w:rFonts w:ascii="Times New Roman" w:hAnsi="Times New Roman"/>
          <w:sz w:val="20"/>
        </w:rPr>
        <w:t xml:space="preserve">We are subject to Section 203 of the DGCL,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Section 203 provides that an interested stockholder may not engage in business combinations with the corporation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combinations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transfer, pledge or other disposition of 10% or more of the assets of the corporation to or with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loss,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i/>
          <w:sz w:val="20"/>
        </w:rPr>
        <w:t>Exclusive forum provision</w:t>
      </w:r>
      <w:r>
        <w:rPr>
          <w:rFonts w:ascii="Times New Roman" w:hAnsi="Times New Roman"/>
          <w:sz w:val="20"/>
        </w:rPr>
        <w:t xml:space="preserve">. 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restated certificate of incorporation or amended and restated bylaws (in each case, as they may be amended from time to time) or governed by the internal affairs doctrine. These choice of forum provisions will not apply to suits brought to enforce a duty or liability created by the Exchange Act. Furthermore, Section 22 of the Securities Act creates concurrent jurisdiction for federal and state courts over all such Securities Act actions. </w:t>
      </w:r>
    </w:p>
    <w:p>
      <w:pPr>
        <w:pStyle w:val="TextBody"/>
        <w:bidi w:val="0"/>
        <w:spacing w:before="240" w:after="0"/>
        <w:jc w:val="left"/>
        <w:rPr>
          <w:rFonts w:ascii="Times New Roman" w:hAnsi="Times New Roman"/>
          <w:sz w:val="20"/>
        </w:rPr>
      </w:pPr>
      <w:r>
        <w:rPr>
          <w:rFonts w:ascii="Times New Roman" w:hAnsi="Times New Roman"/>
          <w:sz w:val="20"/>
        </w:rPr>
        <w:t xml:space="preserve">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a98164_10"/>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a98164_11"/>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a98164_12"/>
      <w:bookmarkEnd w:id="26"/>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unit agreement or warrant agreement. We understand that under existing industry practices, if we request any action of holders or if an owner of a beneficial interest in a global security desires to give or take any action that a holder is entitled to give or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applicable indenture,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a98164_13"/>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In February 2023, Rule 15c6-1 of the Exchange Act was amended to require, effective May 28, 2024, trades in the secondary market to settle in one business day, unless the parties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trade expressly agree otherwise or unless an exception applies. Therefore, for any securities offered under this prospectus on or after May 28, 2024, the same process described in this paragraph will apply, except that settlement may occur on the first business day that is also a trading day following the trade date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a98164_14"/>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29" w:name="toca98164_15"/>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Dyne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36"/>
        </w:rPr>
      </w:pPr>
      <w:r>
        <w:rPr>
          <w:rFonts w:ascii="Times New Roman" w:hAnsi="Times New Roman"/>
          <w:i/>
          <w:sz w:val="36"/>
        </w:rPr>
        <w:t xml:space="preserve">18,300,000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7715" cy="63246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23"/>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i/>
          <w:sz w:val="24"/>
        </w:rPr>
      </w:pPr>
      <w:r>
        <w:rPr>
          <w:rFonts w:ascii="Times New Roman" w:hAnsi="Times New Roman"/>
          <w:i/>
          <w:sz w:val="24"/>
        </w:rPr>
        <w:t xml:space="preserve">Common Stock </w:t>
      </w:r>
    </w:p>
    <w:p>
      <w:pPr>
        <w:pStyle w:val="TextBody"/>
        <w:bidi w:val="0"/>
        <w:spacing w:before="1440" w:after="0"/>
        <w:jc w:val="center"/>
        <w:rPr>
          <w:rFonts w:ascii="Times New Roman" w:hAnsi="Times New Roman"/>
          <w:i/>
          <w:sz w:val="24"/>
        </w:rPr>
      </w:pPr>
      <w:r>
        <w:rPr>
          <w:rFonts w:ascii="Times New Roman" w:hAnsi="Times New Roman"/>
          <w:i/>
          <w:sz w:val="24"/>
        </w:rPr>
        <w:t xml:space="preserve">PROSPECTUS SUPPLEMENT </w:t>
      </w:r>
    </w:p>
    <w:p>
      <w:pPr>
        <w:pStyle w:val="TextBody"/>
        <w:bidi w:val="0"/>
        <w:spacing w:before="120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74"/>
        <w:gridCol w:w="101"/>
        <w:gridCol w:w="3266"/>
        <w:gridCol w:w="101"/>
        <w:gridCol w:w="3063"/>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i/>
              </w:rPr>
            </w:pPr>
            <w:r>
              <w:rPr>
                <w:i/>
              </w:rPr>
              <w:t>Jefferies</w:t>
            </w:r>
          </w:p>
        </w:tc>
        <w:tc>
          <w:tcPr>
            <w:tcW w:w="101" w:type="dxa"/>
            <w:tcBorders/>
            <w:vAlign w:val="bottom"/>
          </w:tcPr>
          <w:p>
            <w:pPr>
              <w:pStyle w:val="TableContents"/>
              <w:bidi w:val="0"/>
              <w:spacing w:before="0" w:after="283"/>
              <w:jc w:val="left"/>
              <w:rPr/>
            </w:pPr>
            <w:r>
              <w:rPr/>
              <w:t> </w:t>
            </w:r>
          </w:p>
        </w:tc>
        <w:tc>
          <w:tcPr>
            <w:tcW w:w="3063" w:type="dxa"/>
            <w:tcBorders/>
          </w:tcPr>
          <w:p>
            <w:pPr>
              <w:pStyle w:val="TableContents"/>
              <w:bidi w:val="0"/>
              <w:spacing w:before="0" w:after="283"/>
              <w:jc w:val="right"/>
              <w:rPr>
                <w:i/>
              </w:rPr>
            </w:pPr>
            <w:r>
              <w:rPr>
                <w:i/>
              </w:rPr>
              <w:t>Evercore ISI</w:t>
            </w:r>
          </w:p>
        </w:tc>
      </w:tr>
    </w:tbl>
    <w:tbl>
      <w:tblPr>
        <w:tblW w:w="5000" w:type="pct"/>
        <w:jc w:val="center"/>
        <w:tblInd w:w="0" w:type="dxa"/>
        <w:tblLayout w:type="fixed"/>
        <w:tblCellMar>
          <w:top w:w="0" w:type="dxa"/>
          <w:left w:w="0" w:type="dxa"/>
          <w:bottom w:w="0" w:type="dxa"/>
          <w:right w:w="0" w:type="dxa"/>
        </w:tblCellMar>
      </w:tblPr>
      <w:tblGrid>
        <w:gridCol w:w="5001"/>
        <w:gridCol w:w="101"/>
        <w:gridCol w:w="5103"/>
      </w:tblGrid>
      <w:tr>
        <w:trPr/>
        <w:tc>
          <w:tcPr>
            <w:tcW w:w="50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283"/>
              <w:jc w:val="left"/>
              <w:rPr>
                <w:i/>
              </w:rPr>
            </w:pPr>
            <w:r>
              <w:rPr>
                <w:i/>
              </w:rPr>
              <w:t>LifeSci Capital</w:t>
            </w:r>
          </w:p>
        </w:tc>
        <w:tc>
          <w:tcPr>
            <w:tcW w:w="101" w:type="dxa"/>
            <w:tcBorders/>
            <w:vAlign w:val="bottom"/>
          </w:tcPr>
          <w:p>
            <w:pPr>
              <w:pStyle w:val="TableContents"/>
              <w:bidi w:val="0"/>
              <w:spacing w:before="0" w:after="283"/>
              <w:jc w:val="left"/>
              <w:rPr/>
            </w:pPr>
            <w:r>
              <w:rPr/>
              <w:t> </w:t>
            </w:r>
          </w:p>
        </w:tc>
        <w:tc>
          <w:tcPr>
            <w:tcW w:w="5103" w:type="dxa"/>
            <w:tcBorders/>
          </w:tcPr>
          <w:p>
            <w:pPr>
              <w:pStyle w:val="TableContents"/>
              <w:bidi w:val="0"/>
              <w:spacing w:before="0" w:after="283"/>
              <w:jc w:val="right"/>
              <w:rPr>
                <w:i/>
              </w:rPr>
            </w:pPr>
            <w:r>
              <w:rPr>
                <w:i/>
              </w:rPr>
              <w:t>Raymond James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jc w:val="center"/>
        <w:rPr>
          <w:rFonts w:ascii="Times New Roman" w:hAnsi="Times New Roman"/>
          <w:i/>
          <w:sz w:val="32"/>
        </w:rPr>
      </w:pPr>
      <w:r>
        <w:rPr>
          <w:rFonts w:ascii="Times New Roman" w:hAnsi="Times New Roman"/>
          <w:i/>
          <w:sz w:val="32"/>
        </w:rPr>
        <w:t xml:space="preserve">Jones </w:t>
      </w:r>
    </w:p>
    <w:p>
      <w:pPr>
        <w:pStyle w:val="TextBody"/>
        <w:bidi w:val="0"/>
        <w:spacing w:before="720" w:after="0"/>
        <w:jc w:val="both"/>
        <w:rPr>
          <w:rFonts w:ascii="Times New Roman" w:hAnsi="Times New Roman"/>
          <w:i/>
          <w:sz w:val="20"/>
        </w:rPr>
      </w:pPr>
      <w:r>
        <w:rPr>
          <w:rFonts w:ascii="Times New Roman" w:hAnsi="Times New Roman"/>
          <w:i/>
          <w:sz w:val="20"/>
        </w:rPr>
        <w:t xml:space="preserve">July 21, 2026 </w:t>
      </w:r>
    </w:p>
    <w:p>
      <w:pPr>
        <w:pStyle w:val="Normal"/>
        <w:bidi w:val="0"/>
        <w:spacing w:before="0" w:after="0"/>
        <w:jc w:val="left"/>
        <w:rPr>
          <w:sz w:val="4"/>
          <w:szCs w:val="4"/>
        </w:rPr>
      </w:pPr>
      <w:r>
        <w:rPr>
          <w:sz w:val="4"/>
          <w:szCs w:val="4"/>
        </w:rPr>
      </w:r>
      <w:bookmarkStart w:id="30" w:name="d98164dexfilingfees.htm"/>
      <w:bookmarkStart w:id="31" w:name="ksd98164dexfilingfees"/>
      <w:bookmarkStart w:id="32" w:name="d98164dexfilingfees.htm"/>
      <w:bookmarkStart w:id="33" w:name="ksd98164dexfilingfees"/>
      <w:bookmarkEnd w:id="32"/>
      <w:bookmarkEnd w:id="33"/>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Dyne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21,045,000 </w:t>
            </w:r>
          </w:p>
        </w:tc>
        <w:tc>
          <w:tcPr>
            <w:tcW w:w="1156" w:type="dxa"/>
            <w:tcBorders/>
            <w:shd w:fill="E7E7E2" w:val="clear"/>
            <w:vAlign w:val="center"/>
          </w:tcPr>
          <w:p>
            <w:pPr>
              <w:pStyle w:val="TableContents"/>
              <w:bidi w:val="0"/>
              <w:spacing w:before="0" w:after="283"/>
              <w:jc w:val="right"/>
              <w:rPr/>
            </w:pPr>
            <w:r>
              <w:rPr/>
              <w:t xml:space="preserve">$ 20.50 </w:t>
            </w:r>
          </w:p>
        </w:tc>
        <w:tc>
          <w:tcPr>
            <w:tcW w:w="1786" w:type="dxa"/>
            <w:tcBorders/>
            <w:shd w:fill="E7E7E2" w:val="clear"/>
            <w:vAlign w:val="center"/>
          </w:tcPr>
          <w:p>
            <w:pPr>
              <w:pStyle w:val="TableContents"/>
              <w:bidi w:val="0"/>
              <w:spacing w:before="0" w:after="283"/>
              <w:jc w:val="right"/>
              <w:rPr/>
            </w:pPr>
            <w:r>
              <w:rPr/>
              <w:t xml:space="preserve">$ 431,422,500.00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$ 59,579.45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$ 431,422,500.00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$ 59,579.45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$ 59,579.45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6"/>
        <w:gridCol w:w="8706"/>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Includes 2,745,000 shares of common stock the underwriters have an option to purchase. b)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 (Registration No. 333-277655) (the "Registration Statement"). This "Calculation of Filing Fee Tables" shall be deemed to update the "Calculation of Filing Fee Tables" filed as Exhibit 107 to the Registration Statement in accordance with Rules 456(b) and 457(r) under the Securities Act.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$431,422,500.00.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Bodoni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18794/000119312526084178/dyn-20251231.htm" TargetMode="External"/><Relationship Id="rId4" Type="http://schemas.openxmlformats.org/officeDocument/2006/relationships/hyperlink" Target="http://www.sec.gov/Archives/edgar/data/../../../ix?doc=/Archives/edgar/data/0001818794/000119312526173655/dyn-20260422.htm" TargetMode="External"/><Relationship Id="rId5" Type="http://schemas.openxmlformats.org/officeDocument/2006/relationships/hyperlink" Target="http://www.sec.gov/Archives/edgar/data/../../../ix?doc=/Archives/edgar/data/0001818794/000119312526215702/dyn-20260331.htm" TargetMode="External"/><Relationship Id="rId6" Type="http://schemas.openxmlformats.org/officeDocument/2006/relationships/hyperlink" Target="http://www.sec.gov/Archives/edgar/data/../../../ix?doc=/Archives/edgar/data/0001818794/000119312526254597/dyn-20260603.htm" TargetMode="External"/><Relationship Id="rId7" Type="http://schemas.openxmlformats.org/officeDocument/2006/relationships/hyperlink" Target="http://www.sec.gov/Archives/edgar/data/../../../ix?doc=/Archives/edgar/data/0001818794/000119312526261696/dyn-20260605.htm" TargetMode="External"/><Relationship Id="rId8" Type="http://schemas.openxmlformats.org/officeDocument/2006/relationships/hyperlink" Target="http://www.sec.gov/Archives/edgar/data/../../../ix?doc=/Archives/edgar/data/0001818794/000181879426000003/dyn-20260616.htm" TargetMode="External"/><Relationship Id="rId9" Type="http://schemas.openxmlformats.org/officeDocument/2006/relationships/hyperlink" Target="http://www.sec.gov/Archives/edgar/data/../../../ix?doc=/Archives/edgar/data/0001818794/000181879426000005/dyn-20260622.htm" TargetMode="External"/><Relationship Id="rId10" Type="http://schemas.openxmlformats.org/officeDocument/2006/relationships/hyperlink" Target="http://www.sec.gov/Archives/edgar/data/../../../ix?doc=/Archives/edgar/data/1818794/000119312526308343/dyn-20260720.htm" TargetMode="External"/><Relationship Id="rId11" Type="http://schemas.openxmlformats.org/officeDocument/2006/relationships/hyperlink" Target="http://www.sec.gov/Archives/edgar/data/1818794/000119312520243958/d68692d8a12b.htm" TargetMode="External"/><Relationship Id="rId12" Type="http://schemas.openxmlformats.org/officeDocument/2006/relationships/hyperlink" Target="http://www.sec.gov/Archives/edgar/data/1818794/000156459021010726/dyn-ex43_148.htm" TargetMode="External"/><Relationship Id="rId13" Type="http://schemas.openxmlformats.org/officeDocument/2006/relationships/hyperlink" Target="http://www.sec.gov/Archives/edgar/data/1818794/000156459021010726/dyn-10k_20201231.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1818794/000095017024025402/dyn-20231231.htm" TargetMode="External"/><Relationship Id="rId16" Type="http://schemas.openxmlformats.org/officeDocument/2006/relationships/hyperlink" Target="http://www.sec.gov/Archives/edgar/data/1818794/000095017023012196/2023_proxy.htm" TargetMode="External"/><Relationship Id="rId17" Type="http://schemas.openxmlformats.org/officeDocument/2006/relationships/hyperlink" Target="http://www.sec.gov/Archives/edgar/data/../../../ix?doc=/Archives/edgar/data/1818794/000119312524000991/d586587d8k.htm" TargetMode="External"/><Relationship Id="rId18" Type="http://schemas.openxmlformats.org/officeDocument/2006/relationships/hyperlink" Target="http://www.sec.gov/Archives/edgar/data/../../../ix?doc=/Archives/edgar/data/1818794/000119312524002542/d687857d8k.htm" TargetMode="External"/><Relationship Id="rId19" Type="http://schemas.openxmlformats.org/officeDocument/2006/relationships/hyperlink" Target="http://www.sec.gov/Archives/edgar/data/../../../ix?doc=/Archives/edgar/data/1818794/000119312524002892/d110504d8k.htm" TargetMode="External"/><Relationship Id="rId20" Type="http://schemas.openxmlformats.org/officeDocument/2006/relationships/hyperlink" Target="http://www.sec.gov/Archives/edgar/data/1818794/000119312520243958/d68692d8a12b.htm" TargetMode="External"/><Relationship Id="rId21" Type="http://schemas.openxmlformats.org/officeDocument/2006/relationships/hyperlink" Target="http://www.sec.gov/Archives/edgar/data/1818794/000156459021010726/dyn-ex43_148.htm" TargetMode="External"/><Relationship Id="rId22" Type="http://schemas.openxmlformats.org/officeDocument/2006/relationships/hyperlink" Target="http://www.sec.gov/Archives/edgar/data/1818794/000156459021010726/dyn-10k_20201231.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34962</Words>
  <Characters>184620</Characters>
  <CharactersWithSpaces>220273</CharactersWithSpaces>
  <Paragraphs>2361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