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Head of R&amp;D and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97"/>
        <w:gridCol w:w="462"/>
        <w:gridCol w:w="624"/>
        <w:gridCol w:w="1207"/>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8,000</w:t>
            </w:r>
            <w:r>
              <w:rPr>
                <w:rFonts w:ascii="Times;serif" w:hAnsi="Times;serif"/>
                <w:color w:val="008000"/>
                <w:position w:val="7"/>
                <w:sz w:val="16"/>
                <w:sz w:val="20"/>
                <w:shd w:fill="FFFFFF" w:val="clear"/>
              </w:rPr>
              <w:t>(1)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170,564</w:t>
            </w:r>
            <w:r>
              <w:rPr>
                <w:rFonts w:ascii="Times;serif" w:hAnsi="Times;serif"/>
                <w:color w:val="008000"/>
                <w:position w:val="7"/>
                <w:sz w:val="16"/>
                <w:sz w:val="20"/>
                <w:shd w:fill="FFFFFF" w:val="clear"/>
              </w:rPr>
              <w:t>(2)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shares of Common Stock issuable under 8,000 restricted stock units ("RSUs"). Each RSU represents the right to receive one share of Common Stock upon vesting. These RSUs are scheduled to vest in equal quarterly installments over four years with the first installment vesting on January 20,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133,126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on October 20, 2026. The shares underlying the option are scheduled to vest over four years in equal monthly installments through October 20,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189"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3607</Characters>
  <CharactersWithSpaces>4193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