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2911d8k.htm"/>
      <w:bookmarkStart w:id="1" w:name="ksd11291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Dyne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36-4883909</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1560 Trapelo Road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Waltham,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(781) 786-8230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875" w:type="dxa"/>
        <w:jc w:val="left"/>
        <w:tblInd w:w="0" w:type="dxa"/>
        <w:tblLayout w:type="fixed"/>
        <w:tblCellMar>
          <w:top w:w="0" w:type="dxa"/>
          <w:left w:w="0" w:type="dxa"/>
          <w:bottom w:w="0" w:type="dxa"/>
          <w:right w:w="0" w:type="dxa"/>
        </w:tblCellMar>
      </w:tblPr>
      <w:tblGrid>
        <w:gridCol w:w="4220"/>
        <w:gridCol w:w="60"/>
        <w:gridCol w:w="710"/>
        <w:gridCol w:w="60"/>
        <w:gridCol w:w="2825"/>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DYN</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21, 2026, Dyne Therapeutics, Inc. (the “Company”) entered into an underwriting agreement (the “Underwriting Agreement”) with Morgan Stanley &amp; Co. LLC and Jefferies LLC, as representatives of the several underwriters named therein (the “Underwriters”), relating to an underwritten public offering (the “Offering”) of 18,300,000 shares (the “Underwritten Shares”) of the Company’s common stock, par value $0.0001 per share (the “Common Stock”). All of the Underwritten Shares are being sold by the Company. The public offering price of the Underwritten Shares is $20.50 per share, and the Underwriters have agreed to purchase the Underwritten Shares from the Company pursuant to the Underwriting Agreement at a price of $19.27 per share. Under the terms of the Underwriting Agreement, the Company also granted the Underwriters an option, exercisable for 30 days from the date of the Underwriting Agreement, to purchase up to an additional 2,745,000 shares of Common Stock (the “Option Shares” and together with the Underwritten Shares, the “Shares”) at the public offering price less the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that the net proceeds from the Offering will be approximately $352.1 million, or approximately $405.0 million if the Underwriters exercise in full their option to purchase the Option Shares, in each case, after deducting underwriting discounts and commissions and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Shares will be issued pursuant to a prospectus supplement dated July 21, 2026, and an accompanying base prospectus that form a part of the registration statement on Form S-3 that the Company filed with the Securities and Exchange Commission (the “SEC”) on March 5, 2024 (File No. 333-277655), which was automatically effective upon filing. The closing of the Offering is expected to take place on or about July 23,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covenants and agreements by the Company, customary conditions to closing, indemnification obligations of the Company and the Underwriters, including for liabilities under the Securities Act of 1933,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Underwriting Agreement is attached as Exhibit 1.1 hereto and is incorporated herein by reference. The foregoing description of the terms of the Underwriting Agreement is qualified in its entirety by reference to such exhibit. </w:t>
      </w:r>
    </w:p>
    <w:p>
      <w:pPr>
        <w:pStyle w:val="TextBody"/>
        <w:bidi w:val="0"/>
        <w:spacing w:before="240" w:after="0"/>
        <w:jc w:val="left"/>
        <w:rPr>
          <w:rFonts w:ascii="Times New Roman" w:hAnsi="Times New Roman"/>
          <w:sz w:val="20"/>
        </w:rPr>
      </w:pPr>
      <w:r>
        <w:rPr>
          <w:rFonts w:ascii="Times New Roman" w:hAnsi="Times New Roman"/>
          <w:sz w:val="20"/>
        </w:rPr>
        <w:t xml:space="preserve">A copy of the legal opinion and consent of Wilmer Cutler Pickering Hale and Dorr LLP relating to the Shares is attached as Exhibit 5.1 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i/>
          <w:sz w:val="20"/>
        </w:rPr>
      </w:pPr>
      <w:r>
        <w:rPr>
          <w:rFonts w:ascii="Times New Roman" w:hAnsi="Times New Roman"/>
          <w:i/>
          <w:sz w:val="20"/>
        </w:rPr>
        <w:t xml:space="preserve">Pricing of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press release issued on July 21, 2026, announcing the pricing of the Offering, is attached as Exhibit 99.1 hereto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Cash Runway </w:t>
      </w:r>
    </w:p>
    <w:p>
      <w:pPr>
        <w:pStyle w:val="TextBody"/>
        <w:bidi w:val="0"/>
        <w:spacing w:before="120" w:after="0"/>
        <w:jc w:val="left"/>
        <w:rPr>
          <w:rFonts w:ascii="Times New Roman" w:hAnsi="Times New Roman"/>
          <w:sz w:val="20"/>
        </w:rPr>
      </w:pPr>
      <w:r>
        <w:rPr>
          <w:rFonts w:ascii="Times New Roman" w:hAnsi="Times New Roman"/>
          <w:sz w:val="20"/>
        </w:rPr>
        <w:t xml:space="preserve">The Company believes that the net proceeds from the Offering, together with its existing cash, cash equivalents and marketable securities, including the third term loan tranche of $50.0 million that it borrowed under the Loan and Security Agreement (the “Loan Agreement”) with Hercules Capital, Inc. (“Hercules”) in June 2026, will enable the Company to fund its operating expenses, debt service obligations and capital expenditure requirements into the second quarter of 2028. The Company has based its estimates on assumptions that may prove to be wrong, and the Company could use its available capital resources sooner than it currently expects. This estimate does not give effect to any additional funding tranches the Company may obtain access to under the Loan Agreement with Hercules, subject to the achievement of specified clinical, regulatory and commercial milestones, and does not give effect to any revenue the Company may generate on commercial sales of any products for which the Company obtains regulatory approval.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that involve substantial risks and uncertainties. All statements, other than statements of historical facts, contained in this Current Report on Form 8-K, including the anticipated net proceeds from the Offering, the anticipated closing date of the Offering, the Company’s anticipated cash runway and the Company’s ability to achieve any of the specified clinical, regulatory or commercial milestones under its Loan Agreement with Hercules, constitute forward-looking statements within the meaning of The Private Securities Litigation Reform Act of 1995. The words “anticipate,” “believe,” “continue,” “could,” “estimate,” “expect,” “intend,” “may,” “might,” “objective,” “ongoing,” “plan,” “predict,” “project,” “potential,” “should,” or “would,” or the negative of these terms, or other comparable terminology are intended to identify forward-looking statements, although not all forward-looking statements contain these identifying words.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related to market conditions and the satisfaction of customary closing conditions related to the Offering, uncertainties inherent in the identification and development of product candidates, including the initiation and completion of preclinical studies and clinical trials; uncertainties as to the availability and timing of results from preclinical studies and clinical trials; the timing of and the Company’s ability to enroll patients in clinical trials; whether results from preclinical studies and data from clinical trials will be predictive of the final results of the clinical trials or other trials; whether data from clinical trials will support submission for regulatory approvals; uncertainties as to the U.S. Food and Drug Administration’s and other regulatory authorities’ interpretation of the data from the Company’s clinical trials and acceptance of the Company’s clinical programs and as to the regulatory approval process for the Company’s product candidates; whether the Company’s cash resources will be sufficient to fund its foreseeable and unforeseeable operating expenses, debt service obligations and capital expenditure requirements; the Company’s ability to comply with the restrictive covenants under the Loan Agreement with Hercules; the Company’s ability to satisfy interest and principal payments under the Loan Agreement with Hercules; as well as the risks and uncertainties discussed in the “Risk Factors” section contained in the preliminary prospectus supplement related to the Offering filed with the SEC on July 21, 2026, and the Company’s quarterly and annual reports on file with the SEC. In addition, the forward-looking statements included in this Current Report on Form 8-K represent the Company’s views as of the date hereof. The Company anticipates that subsequent events and developments will cause its views to change. However, while the Company may elect to update these forward-looking statements at some point in the future, it specifically disclaims any obligation to do so. These forward-looking statements should not be relied upon as representing the Company’s views as of any date subsequent to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center"/>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12911dex11.htm">
              <w:r>
                <w:rPr>
                  <w:rStyle w:val="InternetLink"/>
                </w:rPr>
                <w:t xml:space="preserve">Underwriting Agreement, dated July 21, 2026, by and among the Company and Morgan Stanley &amp; Co. LLC and Jefferies LLC, as representatives of the several underwriters named therein.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12911dex51.htm">
              <w:r>
                <w:rPr>
                  <w:rStyle w:val="InternetLink"/>
                </w:rPr>
                <w:t xml:space="preserve">Opinion of Wilmer Cutler Pickering Hale and Dorr LLP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12911dex51.htm">
              <w:r>
                <w:rPr>
                  <w:rStyle w:val="InternetLink"/>
                </w:rPr>
                <w:t xml:space="preserve">Consent of Wilmer Cutler Pickering Hale and Dorr LLP (included in Exhibit 5.1 above)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12911dex991.htm">
              <w:r>
                <w:rPr>
                  <w:rStyle w:val="InternetLink"/>
                </w:rPr>
                <w:t xml:space="preserve">Press Release of Dyne Therapeutics, Inc., dated July 21,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725" w:type="dxa"/>
        <w:jc w:val="left"/>
        <w:tblInd w:w="0" w:type="dxa"/>
        <w:tblLayout w:type="fixed"/>
        <w:tblCellMar>
          <w:top w:w="0" w:type="dxa"/>
          <w:left w:w="0" w:type="dxa"/>
          <w:bottom w:w="0" w:type="dxa"/>
          <w:right w:w="0" w:type="dxa"/>
        </w:tblCellMar>
      </w:tblPr>
      <w:tblGrid>
        <w:gridCol w:w="1895"/>
        <w:gridCol w:w="60"/>
        <w:gridCol w:w="365"/>
        <w:gridCol w:w="60"/>
        <w:gridCol w:w="650"/>
        <w:gridCol w:w="60"/>
        <w:gridCol w:w="363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70" w:type="dxa"/>
            <w:gridSpan w:val="5"/>
            <w:tcBorders/>
            <w:vAlign w:val="center"/>
          </w:tcPr>
          <w:p>
            <w:pPr>
              <w:pStyle w:val="TableContents"/>
              <w:bidi w:val="0"/>
              <w:spacing w:before="0" w:after="283"/>
              <w:jc w:val="left"/>
              <w:rPr/>
            </w:pPr>
            <w:r>
              <w:rPr/>
              <w:t>DYNE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40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22,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G. Cox</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John G. Cox</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12911dex11.htm"/>
      <w:bookmarkStart w:id="3" w:name="ksd112911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120" w:after="0"/>
        <w:jc w:val="center"/>
        <w:rPr>
          <w:rFonts w:ascii="Times New Roman" w:hAnsi="Times New Roman"/>
          <w:sz w:val="20"/>
        </w:rPr>
      </w:pPr>
      <w:r>
        <w:rPr>
          <w:rFonts w:ascii="Times New Roman" w:hAnsi="Times New Roman"/>
          <w:sz w:val="20"/>
        </w:rPr>
        <w:t xml:space="preserve">DYNE THERAPEUTICS, INC. </w:t>
      </w:r>
    </w:p>
    <w:p>
      <w:pPr>
        <w:pStyle w:val="TextBody"/>
        <w:bidi w:val="0"/>
        <w:spacing w:before="120" w:after="0"/>
        <w:jc w:val="center"/>
        <w:rPr>
          <w:rFonts w:ascii="Times New Roman" w:hAnsi="Times New Roman"/>
          <w:sz w:val="20"/>
        </w:rPr>
      </w:pPr>
      <w:r>
        <w:rPr>
          <w:rFonts w:ascii="Times New Roman" w:hAnsi="Times New Roman"/>
          <w:sz w:val="20"/>
        </w:rPr>
        <w:t xml:space="preserve">18,300,000 Shares of Common Stock, par value $0.0001 per share </w:t>
      </w:r>
    </w:p>
    <w:p>
      <w:pPr>
        <w:pStyle w:val="TextBody"/>
        <w:bidi w:val="0"/>
        <w:spacing w:before="12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21, 2026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Dyne Therapeutics, Inc., a Delaware corporation (the “Company”), proposes to issue and sell to the several underwriters listed in Schedule 1 hereto (the “Underwriters”), for whom you are acting as representatives (the “Representatives”), an aggregate of 18,300,000 shares of common stock, par value $0.0001 per share (the “Common Stock”), of the Company (the “Underwritten Shares”) and, at the option of the Underwriters, up to an additional 2,745,000 shares of Common Stock of the Company (the “Option Shares”). The Underwritten Shares and the Option Shares are herein referred to as the “Shares”. The shares of Common Stock of the Company to be outstanding after giving effect to the sale of the Shares are referred to herein as the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confirms its agreement with the several Underwriters concerning the purchase and sale of the Shares,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xml:space="preserve">. The Company has prepared and filed with the Securities and Exchange Commission (the “Commission”) under the Securities Act of 1933, as amended, and the rules and regulations of the Commission thereunder (collectively, the “Securities Act”), an “automatic shelf” registration statement on Form S-3 (File No. 333-277655), including a base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430 Information”), is referred to herein as the “Registration Statement”; and as used herein, the term “Preliminary Prospectus” means the base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following information (collectively with the pricing information set forth on Annex A, the “Pricing Disclosure Package”): a Preliminary Prospectus dated July 21, 2026 and each “free-writing prospectus” (as defined pursuant to Rule 405 under the Securities Act) listed on Annex A hereto. </w:t>
      </w:r>
    </w:p>
    <w:p>
      <w:pPr>
        <w:pStyle w:val="TextBody"/>
        <w:bidi w:val="0"/>
        <w:spacing w:before="240" w:after="0"/>
        <w:jc w:val="left"/>
        <w:rPr/>
      </w:pPr>
      <w:r>
        <w:rPr/>
        <w:t>“</w:t>
      </w:r>
      <w:r>
        <w:rPr>
          <w:rFonts w:ascii="Times New Roman" w:hAnsi="Times New Roman"/>
          <w:sz w:val="20"/>
        </w:rPr>
        <w:t xml:space="preserve">Applicable Time” means 7:15 P.M. New York City time, on July 21, 2026.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issue and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of $19.27 (the “Purchase Price”) from the Company the respective number of Underwritten Shares set forth opposite such Underwriter’s name 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 </w:t>
      </w:r>
    </w:p>
    <w:p>
      <w:pPr>
        <w:pStyle w:val="TextBody"/>
        <w:bidi w:val="0"/>
        <w:spacing w:before="240" w:after="0"/>
        <w:jc w:val="left"/>
        <w:rPr>
          <w:rFonts w:ascii="Times New Roman" w:hAnsi="Times New Roman"/>
          <w:sz w:val="20"/>
        </w:rPr>
      </w:pPr>
      <w:r>
        <w:rPr>
          <w:rFonts w:ascii="Times New Roman" w:hAnsi="Times New Roman"/>
          <w:sz w:val="20"/>
        </w:rPr>
        <w:t xml:space="preserve">(c) Payment for the Shares shall be made by wire transfer in immediately available funds to the account specified by the Company to the Representatives in the case of the Underwritten Shares, at the offices of Cooley LLP, counsel for the Underwriters, at 55 Hudson Yards, New York, NY 10001 at 10:00 A.M. New York City time on July 23, 2026,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Payment for the Shares to be purchased on the Closing Date or the Additional Closing Date, as the case may be, shall be made against delivery to the Representatives for the respective accounts of the several Underwriters of the Shares to be purchased on such date registered in such names and in such denominations as the Representatives shall request in writing not later than one full business day prior to the Closing Date or the Additional Closing Date (or not later than the standard settlement cycle), as the case may be, with any transfer taxes payable in connection with the sale of such Shares duly paid by the Company. Delivery of the Shares shall be made through the facilities of The Depository Trust Company unless the Representatives shall otherwise instruct.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Prospectus.</w:t>
      </w:r>
      <w:r>
        <w:rPr>
          <w:rFonts w:ascii="Times New Roman" w:hAnsi="Times New Roman"/>
          <w:sz w:val="20"/>
        </w:rPr>
        <w:t xml:space="preserve"> 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included in the Pricing Disclosure Package,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Pricing Disclosure Package</w:t>
      </w:r>
      <w:r>
        <w:rPr>
          <w:rFonts w:ascii="Times New Roman" w:hAnsi="Times New Roman"/>
          <w:sz w:val="20"/>
        </w:rPr>
        <w:t xml:space="preserve">.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Issuer Free Writing Prospectus. </w:t>
      </w:r>
      <w:r>
        <w:rPr>
          <w:rFonts w:ascii="Times New Roman" w:hAnsi="Times New Roman"/>
          <w:sz w:val="20"/>
        </w:rPr>
        <w:t xml:space="preserve">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advance by the Representatives. Each such Issuer Free Writing Prospectus complies in all material respects with the Securities Act, has been or will be (within the time period specified in Rule 433 under the Securities Act) filed in accordance with the Securities Act (to the extent required thereby) and does not conflict with the information contained in the Registration Statement or the Pricing Disclosure Package, and, when taken together with all other Issuer Free Writing Prospectuses and the Preliminary Prospectus accompanying, or delivered prior to delivery of, or filed prior to the first use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(d) RESERVED.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Testing-the-Waters Materials. </w:t>
      </w:r>
      <w:r>
        <w:rPr>
          <w:rFonts w:ascii="Times New Roman" w:hAnsi="Times New Roman"/>
          <w:sz w:val="20"/>
        </w:rPr>
        <w:t xml:space="preserve">The Company (i) has not alone engaged in any Testing-the-Waters Communications in connection with the offering to which this Agreement relates and (ii) has not authorized anyone to engage in Testing-the-Waters Communications in connection with the offering to which this Agreement relates. The Company has not distributed or approved for distribution any Written Testing-the-Waters Communications in connection with the offering of the Shares. “Testing-the-Waters Communication” means any oral or written communication with potential investors undertaken in reliance on Rule 163B under the Securities Act. “Written Testing-the- Waters Communication” means any Testing-the-Waters Communication that is a written communication within the meaning of Rule 405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Registration Statement and Prospectus.</w:t>
      </w:r>
      <w:r>
        <w:rPr>
          <w:rFonts w:ascii="Times New Roman" w:hAnsi="Times New Roman"/>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Incorporated Documents</w:t>
      </w:r>
      <w:r>
        <w:rPr>
          <w:rFonts w:ascii="Times New Roman" w:hAnsi="Times New Roman"/>
          <w:sz w:val="20"/>
        </w:rPr>
        <w:t xml:space="preserve">. The documents incorporated by reference in the Registration Statement, the Pricing Disclosure Package and the Prospectus,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Pricing Disclosure Package or the Prospectus,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Financial Statements.</w:t>
      </w:r>
      <w:r>
        <w:rPr>
          <w:rFonts w:ascii="Times New Roman" w:hAnsi="Times New Roman"/>
          <w:sz w:val="20"/>
        </w:rPr>
        <w:t xml:space="preserve"> The financial statements (including the related notes thereto) of the Company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as of the dates indicated and the results of its operations and the changes in its cash flows for the periods specified; such financial statements have been prepared in conformity with generally accepted accounting principles in the United States (“GAAP”) applied on a consistent basis throughout the periods covered thereby, except in the case of any unaudited financial statements, which are subject to normal year-end adjustments and do not contain certain footnotes as permitted by the applicable rules of the Commission,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with Regulation G of the Exchange Act and Item 10 of Regulation S-K of the Securities Act, to the extent applicable. The terms “subsidiary” and “subsidiaries” as used herein shall refer to Dyne Therapeutics Securities Corporation.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Material Adverse Change.</w:t>
      </w:r>
      <w:r>
        <w:rPr>
          <w:rFonts w:ascii="Times New Roman" w:hAnsi="Times New Roman"/>
          <w:sz w:val="20"/>
        </w:rPr>
        <w:t xml:space="preserve"> Since the date of the most recent financial statements of the Company included or incorporated by reference in the Registration Statement, the Pricing Disclosure Package and the Prospectus, except for the Second Amendment to Loan and Security Agreement, dated June 16, 2026, which amends the Company’s Loan and Security Agreement, dated as of June 27, 2025, as amended by the First Amendment to Loan and Security Agreement dated as of December 8, 2025 (as amended to date, the “Loan Agreement”), with Hercules Capital, Inc. (“Hercules”), (i) there has not been any change in the capital stock (other than the issuance of shares of Common Stock upon exercise of stock options and warrants or vesting of restricted stock units described as outstanding in, and the grant of options and other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Organization and Good Standing.</w:t>
      </w:r>
      <w:r>
        <w:rPr>
          <w:rFonts w:ascii="Times New Roman" w:hAnsi="Times New Roman"/>
          <w:sz w:val="20"/>
        </w:rPr>
        <w:t xml:space="preserve"> The Company and each of its subsidiaries have been duly organized and are validly existing and in good standing under the laws of its jurisdiction of organization, are duly qualified to do business and are in good standing in each jurisdiction in which their ownership or lease of property or the conduct of their respective businesses requires such qualification, and have all power and authority necessary to own or hold its properties and to conduct the business in which they are engaged, except where the failure to be so qualified or in good standing or have such power or authority would not, individually or in the aggregate, reasonably be expected to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subsidiary listed in Exhibit 21.1 to the Company’s most recent Annual Report on Form 10-K.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Capitalization.</w:t>
      </w:r>
      <w:r>
        <w:rPr>
          <w:rFonts w:ascii="Times New Roman" w:hAnsi="Times New Roman"/>
          <w:sz w:val="20"/>
        </w:rPr>
        <w:t xml:space="preserve"> The Company has an authorized capitalization as set forth in the Registration Statement, the Pricing Disclosure Package and the Prospectus;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Registration Statement, the Pricing Disclosure Package and the Prospectus, (i)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that have not been duly waived or satisfied; (ii) the capital stock of the Company conforms in all material respects to the description thereof contained in the Registration Statement, the Pricing Disclosure Package and the Prospectus; and (iii)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Stock Options. </w:t>
      </w:r>
      <w:r>
        <w:rPr>
          <w:rFonts w:ascii="Times New Roman" w:hAnsi="Times New Roman"/>
          <w:sz w:val="20"/>
        </w:rPr>
        <w:t xml:space="preserve">With respect to the stock options (the “Stock Options”) granted pursuant to the stock-based compensation plans of the Company and its subsidiaries (the “Company Stock Plans”),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to the knowledge of the Company (other than with respect to due execution and delivery by the Company), the award agreement governing such grant (if any) was duly executed and delivered by each party thereto, (iii) each such grant was made in accordance with the terms of the applicable Company Stock Plan and all applicable laws and regulatory rules and requirements, and (iv) each such grant was properly accounted for in accordance with GAAP in the financial statements (including the related notes) of the Company and disclosed in the Company’s filings with the Commission in accordance with the Exchange Act, as applicable, and all other applicable laws. Each Company Stock Plan is accurately described in all material respects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Due Authorization.</w:t>
      </w:r>
      <w:r>
        <w:rPr>
          <w:rFonts w:ascii="Times New Roman" w:hAnsi="Times New Roman"/>
          <w:sz w:val="20"/>
        </w:rPr>
        <w:t xml:space="preserve">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The Shares. </w:t>
      </w:r>
      <w:r>
        <w:rPr>
          <w:rFonts w:ascii="Times New Roman" w:hAnsi="Times New Roman"/>
          <w:sz w:val="20"/>
        </w:rPr>
        <w:t xml:space="preserve">The Shares to be issued and sold by the Company hereunder have been duly authorized by the Company and, when issued 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 that have not been duly waived or satisfied.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 xml:space="preserve">No Conflicts. </w:t>
      </w:r>
      <w:r>
        <w:rPr>
          <w:rFonts w:ascii="Times New Roman" w:hAnsi="Times New Roman"/>
          <w:sz w:val="20"/>
        </w:rPr>
        <w:t xml:space="preserve">The execution, delivery and performance by the Company of this Agreement, the issuance and sale of the Shares by the Company and the consummation by the Company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having jurisdiction over the Company, except, in the case of clauses (i) and (iii) above, for any such conflict, breach, violation, default, lien, charge or encumbrance that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No Consents Required.</w:t>
      </w:r>
      <w:r>
        <w:rPr>
          <w:rFonts w:ascii="Times New Roman" w:hAnsi="Times New Roman"/>
          <w:sz w:val="20"/>
        </w:rPr>
        <w:t xml:space="preserve"> No consent, filing, approval, authorization, order, license, registration or qualification of or with any court or arbitrator or governmental or regulatory authority is required for the execution, delivery and performance by the Company of this Agreement, the issuance and sale of the Shares and the consummation by the Company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or the Nasdaq Global Select Market (the “Nasdaq Market”) and under applicable state securities laws in connection with the purchase and distribution of the Shares by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Legal Proceedings.</w:t>
      </w:r>
      <w:r>
        <w:rPr>
          <w:rFonts w:ascii="Times New Roman" w:hAnsi="Times New Roman"/>
          <w:sz w:val="20"/>
        </w:rPr>
        <w:t xml:space="preserve"> Except as described in the Registration Statement, the Pricing Disclosure Package and the Prospectus, there are no legal, governmental or regulatory investigations, actions, demands, claims, suits, arbitrations, inquiries or proceedings (“Actions”) pending to which the Company or any of its subsidiaries is or may reasonably be expected to become a party or to which any property of the Company or any of its subsidiaries is or may reasonably be expected to become the subject that, individually or in the aggregate, if determined adversely to the Company or any of its subsidiaries, would reasonably be expected to have a Material Adverse Effect; to the knowledge of the Company, no such Actions are threatened or contemplated by any governmental or regulatory authority or threatened by others; and (i) there are no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or incorporated by reference as exhibits to the Registration Statement or described in the Registration Statement, the Pricing Disclosure Package or the Prospectus that are not so filed or incorporated by reference as exhibits to the Registration Statement or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Independent Accountants</w:t>
      </w:r>
      <w:r>
        <w:rPr>
          <w:rFonts w:ascii="Times New Roman" w:hAnsi="Times New Roman"/>
          <w:sz w:val="20"/>
        </w:rPr>
        <w:t xml:space="preserve">. Deloitte &amp; Touche LLP, which has certified certain financial statements of the Company, is an independent registered public accounting firm with respect to the Company within the applicable rules and regulations adopted by the Commission and the Public Company Accounting Oversight Board (United States) and as required by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Title to Real and Personal Property</w:t>
      </w:r>
      <w:r>
        <w:rPr>
          <w:rFonts w:ascii="Times New Roman" w:hAnsi="Times New Roman"/>
          <w:sz w:val="20"/>
        </w:rPr>
        <w:t xml:space="preserve">. Except as described in the Registration Statement, the Pricing Disclosure Package and the Prospectus, the Company and its subsidiaries have good and marketable title in fee simple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Intellectual Property.</w:t>
      </w:r>
      <w:r>
        <w:rPr>
          <w:rFonts w:ascii="Times New Roman" w:hAnsi="Times New Roman"/>
          <w:sz w:val="20"/>
        </w:rPr>
        <w:t xml:space="preserve"> The Company and its subsidiaries own or possess valid and enforceable licensed rights to use, all material patents, patent applications, trademarks, service marks, trade names, trademark registrations, service mark registrations, trade dress, designs, data, database rights, Internet domain names, copyrights, works of authorship, licenses, proprietary information and know-how (including trade secrets and other unpatented and/or unpatentable proprietary or confidential information, systems or procedures) (collectively, “Intellectual Property”) necessary for the conduct of their respective businesses as currently conducted or as proposed to be conducted, and, to the knowledge of the Company and its subsidiaries, the conduct of their respective business does not and will not infringe, misappropriate or otherwise conflict with in any material respect any valid and enforceable intellectual property rights of others. Neither the Intellectual Property of the Company nor any of its subsidiaries has been adjudged by a court of competent jurisdiction to be invalid or unenforceable, in whole or in part, and the Company and its subsidiaries are unaware of any facts which would form a reasonable basis for any such adjudication. Neither the Company nor any of its subsidiaries has received any notice of any material claim of infringement, misappropriation or conflict with any intellectual property rights of another, and neither the Company nor any of its subsidiaries is aware of any facts which would form a reasonable basis for any such notice or claim. Neither the Company nor any of its subsidiaries has received any notice of any claim, and neither the Company nor any of its subsidiaries is aware, of any facts or circumstances which would render any Intellectual Property of the Company or any of its subsidiaries invalid or inadequate to protect the interest of the Company or any of its subsidiaries. To the Company’s and any of its subsidiaries’ knowledge: (i) there are no third parties who have rights to any Intellectual Property of the Company or any of its subsidiaries, except for customary reversionary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of third-party licensors with respect to Intellectual Property that is disclosed in the Registration Statement, the Pricing Disclosure Package and the Prospectus as owned by or licensed to the Company, and except for the security interest in the Intellectual Property of the Company held by Hercules pursuant to the Loan Agreement, and except for rights granted to Avidity Biosciences, Inc. in connection with a global cross-license agreement with Avidity Biosciences, Inc.; and (ii) there is no infringement by third parties of any Intellectual Property of the Company or any of its subsidiaries that, individually or in the aggregate, would reasonably be expected to have a Material Adverse Effect. Except as disclosed in the Registration Statement, the Pricing Disclosure Package and the Prospectus, there is no pending or, to the knowledge of the Company and its subsidiaries, existing threatened action, suit, proceeding or claim by others: (A) challenging the Company’s or any of its subsidiaries’ rights in or to any Intellectual Property of the Company or any of its subsidiaries, and the Company and its subsidiaries are unaware of any facts which would form a reasonable basis for any such action, suit, proceeding or claim; (B) challenging the validity, enforceability or scope of any Intellectual Property of the Company or any of its subsidiaries, and the Company and its subsidiaries are unaware of any facts which would form a reasonable basis for any such action, suit, proceeding or claim; or (C) asserting that the Company or any of its subsidiaries infringes, misappropriates, or otherwise violates, or would, upon the commercialization of any product or service described in the Registration Statement, the Pricing Disclosure Package and the Prospectus as under development, infringe, misappropriate, or otherwise violate, any intellectual property rights of others, and neither the Company nor any of its subsidiaries is aware of any facts which would form a reasonable basis for any such action, suit, proceeding or claim. The Company and each of its subsidiaries has complied with the terms of each agreement pursuant to which Intellectual Property of the Company or any of its subsidiaries has been licensed to the Company or any of its subsidiaries, and all such agreements are in full force and effect. To the Company’s and any of its subsidiaries’ knowledge there is no prior art that may render any patent within the Intellectual Property of the Company or any of its subsidiaries invalid or that may render any patent application within the Intellectual Property of the Company or any of its subsidiaries unpatentable that has not been appropriately disclosed to the U.S. Patent and Trademark Office. To the Company’s and any of its subsidiaries’ knowledge, there is no patent or published patent application, in the U.S. or other jurisdiction, which, in the case of a patent, contains valid claims, or in the case of a published patent application contains patentable claims, that dominate or may dominate any of the Company’s or any of its subsidiaries’ Intellectual Property described in the Preliminary Prospectus and Prospectus as being owned by or licensed to the Company or any of its subsidiaries or that interferes with the issued or pending claims of any of the Company’s or any of its subsidiaries’ Intellectual Property. To the Company’s and any of its subsidiaries’ knowledge, the patents included in the Intellectual Property of the Company or any of its subsidiaries are subsisting and have not lapsed and the patent applications in the Intellectual Property of the Company or any of its subsidiaries are subsisting and have not been abandoned without pursuing subject matter of the patent applications in a continuation or divisional application. To the Company’s and any of its subsidiaries’ knowledge, there are no material defects in any of the patents or patent applications included in the Intellectual Property of the Company or any of its subsidiaries. The Company and any of its subsidiaries have taken all reasonable steps to protect, maintain and safeguard the Intellectual Property of the Company or any of its subsidiaries, including the execution of appropriate nondisclosure, confidentiality and invention assignment agreements and invention assignments with its employees, and, to the knowledge of the Company and any of its subsidiaries, no employee of the Company or any of its subsidiaries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To the Company’s and any of its subsidiaries’ knowledge, the duty of candor and good faith as required by the United States Patent and Trademark Office during the prosecution of the United States patents and patent applications included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Intellectual Property of the Company or any of its subsidiaries have been complied with; and in all foreign offices having similar requirements, all such requirements have been complied with or will be complied with in the normal course of prosecution. None of the Company owned Intellectual Property, including Intellectual Property owned by any of the Company’s subsidiaries, or technology (including information technology and outsourced arrangements) employed by the Company or any of its subsidiaries has been obtained or is being used by the Company or any of its subsidiaries in violation of any contractual obligation binding on the Company or any of its subsidiaries, or any of the Company’s or any of its subsidiaries’ officers, directors or employees or otherwise in violation of the rights of any persons. The product candidates described in the Registration Statement, the Pricing Disclosure Package and the Prospectus as under development by the Company or any of its subsidiaries fall within the scope of the claims of one or more patents or patent applications owned by, or exclusively licensed to,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Data Privacy and Security Laws</w:t>
      </w:r>
      <w:r>
        <w:rPr>
          <w:rFonts w:ascii="Times New Roman" w:hAnsi="Times New Roman"/>
          <w:sz w:val="20"/>
        </w:rPr>
        <w:t xml:space="preserve">. The Company and its subsidiaries are, and at all prior times were, in material compliance with all applicable data privacy and security laws and regulations, including, without limitation, the Health Insurance Portability and Accountability Act of 1996 (“HIPAA”) as amended by the Health Information Technology for Economic and Clinical Health Act (the “HITECH Act”), the California Consumer Privacy Act of 2018, as amended (“CCPA”), the Federal Trade Commission Act and state consumer protection laws, the European Union General Data Protection Regulation (“EU GDPR”) (EU 2016/679), and the EU GDPR as it forms part of United Kingdom law (“UK GDPR”) (collectively, the “Privacy Laws”). “Personal Data” means (i) any information which would qualify as “personally identifying information,” “personal data, “personal information,” or similar term under Privacy Laws; or (ii) any information that relates to an identified or identifiable natural person, or that is reasonably capable of being used to identify, contact, or precisely locate a natural person or a particular computing system or device. Neither the Company nor any of its subsidiaries (i) has received notice of any actual or potential liability under or relating to, or actual or potential violation of, any Privacy Law, or has knowledge of any event or condition that would reasonably be expected to result in any such notice; (ii) is currently conducting or paying for, in whole or in part, any investigation or threatened investigation, remediation, or other corrective action pursuant to any Privacy Law; or (iii) is a party to any order, decree, or agreement that imposes any obligation or liability under any Privacy Law.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No Complaints</w:t>
      </w:r>
      <w:r>
        <w:rPr>
          <w:rFonts w:ascii="Times New Roman" w:hAnsi="Times New Roman"/>
          <w:sz w:val="20"/>
        </w:rPr>
        <w:t xml:space="preserve">. To the knowledge of the Company or any of its subsidiaries, there is no complaint to or audit, proceeding, investigation (formal or informal) or claim currently pending against the Company or any of its subsidiaries or customers (specific to the customer’s use of the products or services of the Company) by the Federal Trade Commission, the U.S. Department of Health and Human Services and any office contained therein (“HHS”), or any similar authority in any jurisdiction other than the United States or any other governmental entity, or by any person in respect of the collection, use or disclosure of Personal Data by the Company or any of its subsidiaries, and, to the knowledge of the Company, no such complaint, audit, proceeding, investigation or claim is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FDA Compliance</w:t>
      </w:r>
      <w:r>
        <w:rPr>
          <w:rFonts w:ascii="Times New Roman" w:hAnsi="Times New Roman"/>
          <w:sz w:val="20"/>
        </w:rPr>
        <w:t xml:space="preserve">. The Company and each of its subsidiaries: (A) is and at all times has been in material compliance with all statutes, rules or regulations of the FDA and other comparable governmental entities with jurisdiction over the Company or any of its subsidiaries that are applicable to the ownership, testing, development, manufacture, packaging, processing, use, distribution, marketing, labeling, promotion, sale, offer for sale, storage, import, export or disposal of any product under development, manufactured or distributed by the Company or any of its subsidiaries (“Applicable Laws”); (B) has not received any FDA Form 483, notice of adverse finding, warning letter, untitled letter or other written correspondence or notice from the FDA or any governmental entity alleging or asserting material noncompliance with any Applicable Laws or any licenses, certificates, approvals, clearances, exemptions, authorizations, permits and supplements or amendments thereto required by any such Applicable Laws (“Authorizations”); (C) possesses all material Authorizations and such Authorizations are valid and in full force and effect and the Company or any of its subsidiaries is not in material violation of any term of any such Authorizations; (D) has not received notice of any claim, action, suit, proceeding, hearing, enforcement, investigation, arbitration or other action from the FDA or any governmental entity or third party alleging that any product operation or activity is in material violation of any Applicable Laws or Authorizations and has no knowledge that the FDA or any governmental entity or third party is considering any such claim, litigation, arbitration, action, suit, investigation or proceeding; (E) has not received written notice that the FDA or any governmental entity has taken, is taking or intends to take action to limit, suspend, modify or revoke any material Authorizations and has no knowledge that the FDA or any governmental entity is considering such action; and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materially complete and correct on the date filed (or were corrected or supplemented by a subsequent submission).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Tests and Clinical Trials</w:t>
      </w:r>
      <w:r>
        <w:rPr>
          <w:rFonts w:ascii="Times New Roman" w:hAnsi="Times New Roman"/>
          <w:sz w:val="20"/>
        </w:rPr>
        <w:t xml:space="preserve">. The studies, tests and clinical trials conducted by or, to the Company’s or any of its subsidiaries’ knowledge, on behalf of the Company or any of its subsidiaries were and, if still ongoing, are being conducted in all material respects in accordance with experimental protocols, procedures and controls pursuant to accepted professional scientific standards and all Authorizations and Applicable Laws, including, without limitation, the Federal Food, Drug and Cosmetic Act and the rules and regulations promulgated thereunder and current Good Clinical Practices and Good Laboratory Practices and any applicable rules, regulations and policies of the jurisdiction in which such trials and studies are being conducted; the descriptions of the results of such studies, tests and trials contained in the Registration Statement, the Pricing Disclosure Package and the Prospectus are, to the Company’s or any of its subsidiaries’ knowledge, accurate and complete in all material respects and fairly present the data derived from such studies, tests and trials; except to the extent disclosed in the Registration Statement, the Pricing Disclosure Package and the Prospectus, the Company and each of its subsidiaries is not aware of any studies, tests or trials, the results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or any of its subsidiaries believes reasonably call into question in any material respect the study, test, or trial results described or referred to in the Registration Statement, the Pricing Disclosure Package and the Prospectus when viewed in the context in which such results are described and the clinical state of development; and, except to the extent disclosed in the Registration Statement, the Pricing Disclosure Package or the Prospectus, the Company has not received any notices or correspondence from the FDA or any governmental entity requiring the termination or suspension of any of the studies, tests or clinical trials conducted by or on behalf of the Company or any of its subsidiaries, other than ordinary course communications with respect to modifications in connection with the design and implementation of such trials, copies of which communications have been made available to you.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Compliance with Health Care Laws</w:t>
      </w:r>
      <w:r>
        <w:rPr>
          <w:rFonts w:ascii="Times New Roman" w:hAnsi="Times New Roman"/>
          <w:sz w:val="20"/>
        </w:rPr>
        <w:t xml:space="preserve">. The Company and its subsidiaries are, and at all times have been, in compliance in all material respects with all Health Care Laws to the extent applicable to the Company or any of its subsidiaries or their respective businesses. For purposes of this Agreement, “Health Care Laws” means: (i) the Federal Food, Drug, and Cosmetic Act and the Public Health Service Act, and the regulations promulgated thereunder; (ii) all applicable federal, state, local and foreign health care fraud and abuse laws, including, without limitation, the U.S. Anti-Kickback Statute (42 U.S.C. Section 1320a-7b(b)), the U.S. Civil False Claims Act (31 U.S.C. Section 3729 et seq.), the criminal False Statements Law (42 U.S.C. Section 1320a-7b(a)), 18 U.S.C. Sections 286, 287, 1035, and 1349, the health care fraud criminal provisions under HIPAA (42 U.S.C. Section 1320d et seq.), the civil monetary penalties law (42 U.S.C. Section 1320a-7a), the exclusions law (42 U.S.C. Section 1320a-7), laws governing government funded or sponsored healthcare programs; (iii) HIPAA, as amended by the HITECH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(vi) all other local, state, federal, national, supranational and foreign laws, relating to the regulation of the Company or any of its subsidiaries, and (vii) the directives and regulations promulgated pursuant to such statutes and any state or non-U.S. counterpart thereof. Neither the Company, any of its subsidiaries, nor any of their respective officers, directors, employees and, to the knowledge of the Company and each of its subsidiaries, any of their respective agents have engaged in activities which are, as applicable, cause for liability under a Health Care Law.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or any of its subsidiaries’ knowledge, is any such claim, action, suit, proceeding, hearing, enforcement, investigation, arbitration or other action threatened. None of the Company nor any of its subsidiaries nor their respective employees, officers, directors, or, to the knowledge of the Company or any of its subsidiaries, their respective agents is a party to any corporate integrity agreements, monitoring agreements, consent decrees, settlement orders, or similar agreements with or imposed by any governmental or regulatory authority related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activities conducted by or on behalf of the Company or any of its subsidiaries. Additionally, none of the Company nor any of its subsidiaries nor their respective employees, officers, directors, or, to the knowledge of the Company or any of its subsidiaries, their respective agents has been excluded, suspended or debarred from participation in any U.S. federal health care program or human clinical research or, to the knowledge of the Company or any of its subsidiaries, is subject to a governmental inquiry, investigation, proceeding, or other similar action that could reasonably be expected to result in debarment, suspension, or exclusion.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Investment Company Act</w:t>
      </w:r>
      <w:r>
        <w:rPr>
          <w:rFonts w:ascii="Times New Roman" w:hAnsi="Times New Roman"/>
          <w:sz w:val="20"/>
        </w:rPr>
        <w:t xml:space="preserve">. The Company is not and, immediately after giving effect to the offering and sale of the Shares and the application of the 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Taxes.</w:t>
      </w:r>
      <w:r>
        <w:rPr>
          <w:rFonts w:ascii="Times New Roman" w:hAnsi="Times New Roman"/>
          <w:sz w:val="20"/>
        </w:rPr>
        <w:t xml:space="preserve"> The Company and its subsidiaries have paid all federal, state, local and foreign taxes and filed all tax returns required to be paid (except for taxes being contested in good faith) or filed (taking into account any duly requested extension thereof) through the date hereof, except in each case as would not, individually or in the aggregate, reasonably be expected to have a Material Adverse Effect; and except as otherwise disclosed in each of the Registration Statement, the Pricing Disclosure Package and the Prospectus, there is no tax deficiency that has been, or could reasonably be expected to be, asserted against the Company or any of its subsidiaries or any of their respective properties or assets that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Licenses and Permits.</w:t>
      </w:r>
      <w:r>
        <w:rPr>
          <w:rFonts w:ascii="Times New Roman" w:hAnsi="Times New Roman"/>
          <w:sz w:val="20"/>
        </w:rPr>
        <w:t xml:space="preserve"> 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reasonably be expected to have a Material Adverse Effect; and except as described in each of the Registration Statement, the Pricing Disclosure Package and the Prospectus, neither the Company nor any of its subsidiaries has received notice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revocation or modification of any such license, sub-license, certificate, permit or authorization or has any reason to believe that any such license, sub-license, certificate, permit or authorization will not be renewed in the ordinary course except where such revocation, modification or nonrenewal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No Labor Disputes.</w:t>
      </w:r>
      <w:r>
        <w:rPr>
          <w:rFonts w:ascii="Times New Roman" w:hAnsi="Times New Roman"/>
          <w:sz w:val="20"/>
        </w:rPr>
        <w:t xml:space="preserve"> 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or customers, except as would not reasonably be expected to have a Material Adverse Effect. Neither the Company nor any of its subsidiaries has received any notice of cancellation or termination with respect to any collective bargaining agreement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Certain Environmental Matters</w:t>
      </w:r>
      <w:r>
        <w:rPr>
          <w:rFonts w:ascii="Times New Roman" w:hAnsi="Times New Roman"/>
          <w:sz w:val="20"/>
        </w:rPr>
        <w:t xml:space="preserve">. (i) The Company and its subsidiaries (x) are in compliance with all, and have not violated any, applicable federal, state, local and foreign laws,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any of its subsidiaries,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that is known by the Company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have a Material Adverse Effect, and (z) none of the Company or its subsidiaries anticipate material capital expenditures relating to any Environmental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Hazardous Materials</w:t>
      </w:r>
      <w:r>
        <w:rPr>
          <w:rFonts w:ascii="Times New Roman" w:hAnsi="Times New Roman"/>
          <w:sz w:val="20"/>
        </w:rPr>
        <w:t xml:space="preserve">. There has been no storage, generation, transportation, use, handling, treatment, Release or threat of Release of Hazardous Materials by, relating to or caused by the Company or any of its subsidiaries (or, to the knowledge of the Company and its subsidiaries, any other entity (including any predecessor) for whose acts or omissions the Company or any of its subsidiaries is or could reasonably be expected to be liable) at, on, under or from any property or facility now or previously owned, operated or leased by the Company or any of its subsidiaries, or at, on, under or from any other property or facility,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“Hazardous Materials”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“Release” means any spilling, leaking, seepage, pumping, pouring, emitting, emptying, discharging, injecting, escaping, leaching, dumping, disposing, depositing, dispersing, or migrating in, into or through the environment, or in, into from or through any building or structure.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Compliance with ERISA</w:t>
      </w:r>
      <w:r>
        <w:rPr>
          <w:rFonts w:ascii="Times New Roman" w:hAnsi="Times New Roman"/>
          <w:sz w:val="20"/>
        </w:rPr>
        <w:t xml:space="preserve">. (i) Each employee benefit plan, within the meaning of, and subject to,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that is required to be funded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401(a) of the Code is so qualified, and to the knowledge of the Company,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Disclosure Controls</w:t>
      </w:r>
      <w:r>
        <w:rPr>
          <w:rFonts w:ascii="Times New Roman" w:hAnsi="Times New Roman"/>
          <w:sz w:val="20"/>
        </w:rPr>
        <w:t xml:space="preserve">. The Company and its subsidiaries have established a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Accounting Controls.</w:t>
      </w:r>
      <w:r>
        <w:rPr>
          <w:rFonts w:ascii="Times New Roman" w:hAnsi="Times New Roman"/>
          <w:sz w:val="20"/>
        </w:rPr>
        <w:t xml:space="preserve"> The Company and its subsidiaries maintain systems of “internal control over financial reporting” (as defined in Rule 13a-15(f) of the Exchange Act) that have been designed to comply with the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differences; and (v) as applicable, the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Based on the Company’s most recent evaluation of its internal controls over financial reporting pursuant to Rule 13a-15(c) of the Exchange Act, there are no material weaknesses in the Company’s internal controls over financial reporting.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eXtensible Business Reporting Language</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 xml:space="preserve">Insurance. </w:t>
      </w:r>
      <w:r>
        <w:rPr>
          <w:rFonts w:ascii="Times New Roman" w:hAnsi="Times New Roman"/>
          <w:sz w:val="20"/>
        </w:rPr>
        <w:t xml:space="preserve">The Company and its subsidiaries have insurance covering its properties, operations, personnel and business, 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 xml:space="preserve">Cybersecurity; Data Protection. </w:t>
      </w:r>
      <w:r>
        <w:rPr>
          <w:rFonts w:ascii="Times New Roman" w:hAnsi="Times New Roman"/>
          <w:sz w:val="20"/>
        </w:rPr>
        <w:t xml:space="preserve">The Company and its subsidiaries’ information technology assets and equipment, including, without limitation, those owned, licensed or otherwise used (excluding any public networks), such as its data communications lines, computers, systems, networks, hardware, servers, software, websites, applications, and databases (collectively, “IT Systems”) are (i) adequate for, and operate and perform as required in connection with the operation of the business of the Company and its subsidiaries as currently conducted and as proposed to be conducted as described in the Registration Statement, the Pricing Disclosure Package and the Prospectus, and (ii) free and clear of all bugs, errors, defects, Trojan horses, time bombs, malware and other corruptants, except in each case as would not, individually or in the aggregate, reasonably be expected to have a Material Adverse Effect. The Company and its subsidiaries have at all times implemented and maintained all reasonably necessary controls, policies, procedures, and safeguards consistent with industry standards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practices for similarly situated companies to maintain and protect the integrity, availability, privacy, continuous operation, redundancy and security of all IT Systems and data (including all Personal Data, and other sensitive, confidential or regulated data) (“Company Data”) used in connection with their respective businesses, and there have been no breaches, violations, outages, compromises, or unlawful or unauthorized acquisitions of, disclosures of, uses of or accesses to the same, except in each case as would not, individually or in the aggregate, reasonably be expected to have a Material Adverse Effect. Except in each case as would not, individually or in the aggregate, reasonably be expected to have a Material Adverse Effect, the Company and its subsidiaries are presently and, at all times, have been in compliance with all (i) applicable laws, statutes, judgments, orders, rules and regulations of any court, arbitrator, governmental or regulatory authority; and (ii) internal policies and contractual obligations, each (i) and (ii) relating to the privacy and security of IT Systems and Company Data.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No Unlawful Payments.</w:t>
      </w:r>
      <w:r>
        <w:rPr>
          <w:rFonts w:ascii="Times New Roman" w:hAnsi="Times New Roman"/>
          <w:sz w:val="20"/>
        </w:rPr>
        <w:t xml:space="preserve"> Neither the Company nor any of its subsidiaries nor any director or officer of the Company or any of its subsidiaries nor, to the knowledge of the Company, any employee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payment, promise or authorization or approval of any payment, giving or receipt of money, property, gifts or anything else of value, directly or indirectly,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in order to influence official action in violation of any applicable anti-corruption laws, or to any person in violation of any applicable anti-corruption laws; (iii) violated or is in violation of any applicable anti-corruption laws, including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conducted their businesses in compliance with applicable anti-corruption laws and have instituted, maintained and enforced, and will continue to maintain and enforce policies and procedures designed to promote and ensure compliance with all applicable anti-bribery and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Compliance with Anti-Money Laundering Laws</w:t>
      </w:r>
      <w:r>
        <w:rPr>
          <w:rFonts w:ascii="Times New Roman" w:hAnsi="Times New Roman"/>
          <w:sz w:val="20"/>
        </w:rPr>
        <w:t xml:space="preserve">. The operations of the Company and its subsidiaries are and have been conducted at all times in compliance with applicable financial recordkeeping and reporting requirements, including but not limited to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with respect to any jurisdiction where the Company or any of its subsidiaries conducts business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 xml:space="preserve">No Conflicts with Sanctions Laws. </w:t>
      </w:r>
      <w:r>
        <w:rPr>
          <w:rFonts w:ascii="Times New Roman" w:hAnsi="Times New Roman"/>
          <w:sz w:val="20"/>
        </w:rPr>
        <w:t xml:space="preserve">Neither the Company nor any of its subsidiaries, directors or officers, nor, to the knowledge of the Company, any employees of the Company or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nor is the Company or any of its subsidiaries located, organized or resident in a country or territory that is the subject or target of Sanctions, including, without limitation, Crimea, Cuba, Iran, North Korea, Syria, the so-called Luhansk People’s Republic, the so-called Donetsk People’s Republic and the non-government controlled areas of Zaporizhzhia and Kherson regions of Ukraine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the Company and its subsidiaries have not knowingly engaged in and are not now knowingly engaged in any direct or indirect dealings or transactions with any person that at the time of the dealing or transaction is or was the subject or the target of Sanctions or with any Sanctioned Country.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No Restrictions on Subsidiaries</w:t>
      </w:r>
      <w:r>
        <w:rPr>
          <w:rFonts w:ascii="Times New Roman" w:hAnsi="Times New Roman"/>
          <w:sz w:val="20"/>
        </w:rPr>
        <w:t xml:space="preserve">.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No Registration Rights</w:t>
      </w:r>
      <w:r>
        <w:rPr>
          <w:rFonts w:ascii="Times New Roman" w:hAnsi="Times New Roman"/>
          <w:sz w:val="20"/>
        </w:rPr>
        <w:t xml:space="preserve">. No person has the right to require the Company or any of its subsidiaries to register any securities for sale under the Securities Act by reason of the filing of the Registration Statement with the Commission or the issuance and sale of the Shares, except for any such rights that have been waived. </w:t>
      </w:r>
    </w:p>
    <w:p>
      <w:pPr>
        <w:pStyle w:val="TextBody"/>
        <w:bidi w:val="0"/>
        <w:spacing w:before="120" w:after="0"/>
        <w:jc w:val="left"/>
        <w:rPr>
          <w:rFonts w:ascii="Times New Roman" w:hAnsi="Times New Roman"/>
          <w:sz w:val="20"/>
        </w:rPr>
      </w:pPr>
      <w:r>
        <w:rPr>
          <w:rFonts w:ascii="Times New Roman" w:hAnsi="Times New Roman"/>
          <w:sz w:val="20"/>
        </w:rPr>
        <w:t xml:space="preserve">(uu) </w:t>
      </w:r>
      <w:r>
        <w:rPr>
          <w:rFonts w:ascii="Times New Roman" w:hAnsi="Times New Roman"/>
          <w:i/>
          <w:sz w:val="20"/>
        </w:rPr>
        <w:t>No Stabilization.</w:t>
      </w:r>
      <w:r>
        <w:rPr>
          <w:rFonts w:ascii="Times New Roman" w:hAnsi="Times New Roman"/>
          <w:sz w:val="20"/>
        </w:rPr>
        <w:t xml:space="preserve"> Neither the Company nor any of its subsidiaries nor, to the Company’s knowledge, any of its affiliates has taken, directly or indirectly, any action designed to or that would reasonably be expected to cause or result in any stabilization or manipulation of the price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(vv) </w:t>
      </w:r>
      <w:r>
        <w:rPr>
          <w:rFonts w:ascii="Times New Roman" w:hAnsi="Times New Roman"/>
          <w:i/>
          <w:sz w:val="20"/>
        </w:rPr>
        <w:t>Margin Rules</w:t>
      </w:r>
      <w:r>
        <w:rPr>
          <w:rFonts w:ascii="Times New Roman" w:hAnsi="Times New Roman"/>
          <w:sz w:val="20"/>
        </w:rPr>
        <w:t xml:space="preserve">. Neither the issuance, sale and delivery of the Shares nor the application of the proceeds thereof by the Company as described in each of the Registration Statement, the Pricing Disclosure Package and the Prospectus will violate Regulation T, U or X of the Board of Governors of the Federal Reserve System or any other regulation of such Board of Governors. </w:t>
      </w:r>
    </w:p>
    <w:p>
      <w:pPr>
        <w:pStyle w:val="TextBody"/>
        <w:bidi w:val="0"/>
        <w:spacing w:before="120" w:after="0"/>
        <w:jc w:val="left"/>
        <w:rPr>
          <w:rFonts w:ascii="Times New Roman" w:hAnsi="Times New Roman"/>
          <w:sz w:val="20"/>
        </w:rPr>
      </w:pPr>
      <w:r>
        <w:rPr>
          <w:rFonts w:ascii="Times New Roman" w:hAnsi="Times New Roman"/>
          <w:sz w:val="20"/>
        </w:rPr>
        <w:t xml:space="preserve">(ww)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included or incorporated by reference in any of the Registration Statement, the Pricing Disclosure Package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or incorporated by reference in each of the Registration Statement, the Pricing Disclosure Package and the Prospectus is not based on or derived from sources that are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(yy) </w:t>
      </w:r>
      <w:r>
        <w:rPr>
          <w:rFonts w:ascii="Times New Roman" w:hAnsi="Times New Roman"/>
          <w:i/>
          <w:sz w:val="20"/>
        </w:rPr>
        <w:t>FINRA Matters.</w:t>
      </w:r>
      <w:r>
        <w:rPr>
          <w:rFonts w:ascii="Times New Roman" w:hAnsi="Times New Roman"/>
          <w:sz w:val="20"/>
        </w:rPr>
        <w:t xml:space="preserve"> The Company meets the definition of the term “experienced issuer” specified in FINRA Rule 5110(j)(6). </w:t>
      </w:r>
    </w:p>
    <w:p>
      <w:pPr>
        <w:pStyle w:val="TextBody"/>
        <w:bidi w:val="0"/>
        <w:spacing w:before="120" w:after="0"/>
        <w:jc w:val="left"/>
        <w:rPr>
          <w:rFonts w:ascii="Times New Roman" w:hAnsi="Times New Roman"/>
          <w:sz w:val="20"/>
        </w:rPr>
      </w:pPr>
      <w:r>
        <w:rPr>
          <w:rFonts w:ascii="Times New Roman" w:hAnsi="Times New Roman"/>
          <w:sz w:val="20"/>
        </w:rPr>
        <w:t xml:space="preserve">(zz) </w:t>
      </w:r>
      <w:r>
        <w:rPr>
          <w:rFonts w:ascii="Times New Roman" w:hAnsi="Times New Roman"/>
          <w:i/>
          <w:sz w:val="20"/>
        </w:rPr>
        <w:t>Sarbanes-Oxley Act</w:t>
      </w:r>
      <w:r>
        <w:rPr>
          <w:rFonts w:ascii="Times New Roman" w:hAnsi="Times New Roman"/>
          <w:sz w:val="20"/>
        </w:rPr>
        <w:t xml:space="preserve">. There is and has been no failure on the part of the Company or, to the knowledge of the Company, any of the Company’s directors or officers, in their capacities as such, to comply with any applicable provision of the Sarbanes-Oxley Act of 2002, as amended and the rules and regulations promulgated in connection therewith, including Section 402 related to loans and Sections 302 and 906 related to certifications.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(aaa) </w:t>
      </w:r>
      <w:r>
        <w:rPr>
          <w:rFonts w:ascii="Times New Roman" w:hAnsi="Times New Roman"/>
          <w:i/>
          <w:sz w:val="20"/>
        </w:rPr>
        <w:t>Status under the Securities Act</w:t>
      </w:r>
      <w:r>
        <w:rPr>
          <w:rFonts w:ascii="Times New Roman" w:hAnsi="Times New Roman"/>
          <w:sz w:val="20"/>
        </w:rPr>
        <w:t xml:space="preserve">. At the time of filing the Registration Statement and any post-effective amendment thereto, at the earliest time thereafter that the Company or any offering participant made a </w:t>
      </w:r>
      <w:r>
        <w:rPr>
          <w:rFonts w:ascii="Times New Roman" w:hAnsi="Times New Roman"/>
          <w:i/>
          <w:sz w:val="20"/>
        </w:rPr>
        <w:t>bona fide</w:t>
      </w:r>
      <w:r>
        <w:rPr>
          <w:rFonts w:ascii="Times New Roman" w:hAnsi="Times New Roman"/>
          <w:sz w:val="20"/>
        </w:rPr>
        <w:t xml:space="preserve"> offer (within the meaning of Rule 164(h)(2) under the Securities Act) of the Shares and at the date hereof, the Company was not and is not an “ineligible issuer,” and was and is a “well-known seasoned issuer”, in each case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(bbb) </w:t>
      </w:r>
      <w:r>
        <w:rPr>
          <w:rFonts w:ascii="Times New Roman" w:hAnsi="Times New Roman"/>
          <w:i/>
          <w:sz w:val="20"/>
        </w:rPr>
        <w:t>No Ratings</w:t>
      </w:r>
      <w:r>
        <w:rPr>
          <w:rFonts w:ascii="Times New Roman" w:hAnsi="Times New Roman"/>
          <w:sz w:val="20"/>
        </w:rPr>
        <w:t xml:space="preserve">. There are (and prior to the Closing Date, will be) no debt securities, convertible securities or preferred stock issued or guaranteed by the Company or any of its subsidiaries that are rated by a “nationally recognized statistical rating organization”, as such term is defined in Section 3(a)(62)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(ccc) </w:t>
      </w:r>
      <w:r>
        <w:rPr>
          <w:rFonts w:ascii="Times New Roman" w:hAnsi="Times New Roman"/>
          <w:i/>
          <w:sz w:val="20"/>
        </w:rPr>
        <w:t>Outbound Investment Security Program</w:t>
      </w:r>
      <w:r>
        <w:rPr>
          <w:rFonts w:ascii="Times New Roman" w:hAnsi="Times New Roman"/>
          <w:sz w:val="20"/>
        </w:rPr>
        <w:t xml:space="preserve">.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(“Covered Activity”).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Further Agreements of the Company</w:t>
      </w:r>
      <w:r>
        <w:rPr>
          <w:rFonts w:ascii="Times New Roman" w:hAnsi="Times New Roman"/>
          <w:sz w:val="20"/>
        </w:rPr>
        <w:t xml:space="preserve">. The Company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w:t>
      </w:r>
      <w:r>
        <w:rPr>
          <w:rFonts w:ascii="Times New Roman" w:hAnsi="Times New Roman"/>
          <w:sz w:val="20"/>
        </w:rPr>
        <w:t xml:space="preserve"> The Company will file the final Prospectus with the Commission within the time periods specified by Rule 424(b) and 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Copies.</w:t>
      </w:r>
      <w:r>
        <w:rPr>
          <w:rFonts w:ascii="Times New Roman" w:hAnsi="Times New Roman"/>
          <w:sz w:val="20"/>
        </w:rPr>
        <w:t xml:space="preserve"> Upon written request of the Representatives, the Company will deliver, without charge, (i) to the Representatives, three signed copies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and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or Supplements, Issuer Free Writing Prospectuses.</w:t>
      </w:r>
      <w:r>
        <w:rPr>
          <w:rFonts w:ascii="Times New Roman" w:hAnsi="Times New Roman"/>
          <w:sz w:val="20"/>
        </w:rPr>
        <w:t xml:space="preserve"> Before making, preparing, using, authorizing, approving, referring to or filing any Issuer Free Writing Prospectus, and before filing any amendment or supplement to the Registration Statement, the Pricing Disclosure Package or the Prospectus relating to the Shares,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relating to the Shares to which the Representatives reasonably object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the Representatives.</w:t>
      </w:r>
      <w:r>
        <w:rPr>
          <w:rFonts w:ascii="Times New Roman" w:hAnsi="Times New Roman"/>
          <w:sz w:val="20"/>
        </w:rPr>
        <w:t xml:space="preserve"> The Company will advise the Representatives promptly, and confirm such advice in writing (which may be by electronic mail), (i) when the Registration Statement has become effective; (ii) when any amendment to the Registration Statement related to the Shares has been filed or becomes effective; (iii) when any supplement to the Pricing Disclosure Package, the Prospectus, any Issuer Free Writing Prospectus,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to the knowledge of the Company,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receipt by the Company of any notice with respect to any suspension of the qualification of the Shares for offer and sale in any jurisdiction or, to the knowledge of the Company,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the Prospectus or any Written Testing-the-Waters Communication or suspending any such qualification of the Shares and, if any such order is issued, will use its reasonable best efforts to obtain as soon as possible the withdrawal thereof.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Ongoing Compliance.</w:t>
      </w:r>
      <w:r>
        <w:rPr>
          <w:rFonts w:ascii="Times New Roman" w:hAnsi="Times New Roman"/>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or any Additional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(or any document to be filed with the Commission and incorporated by reference therein)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Compliance.</w:t>
      </w:r>
      <w:r>
        <w:rPr>
          <w:rFonts w:ascii="Times New Roman" w:hAnsi="Times New Roman"/>
          <w:sz w:val="20"/>
        </w:rPr>
        <w:t xml:space="preserve"> The Company will use commercially reasonable best efforts, with the Underwriters’ cooperation, if necessary, to qualify the Shares for offer and sale under the securities or Blue Sky laws of such jurisdictions as the Representatives shall reasonably request and will use commercially reasonable best efforts, with the Underwriters’ cooperation, if necessary, to continue such qualifications in effect so long as required for distribution of the Shares;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Representatives as soon as reasonably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it being understood and agreed that such earning statement shall be deemed to have been made available by the Company if the Company is in compliance with its reporting obligations pursuant to the Exchange Act, if such compliance satisfies the conditions of Rule 158 and if such earnings statement is deemed to have been made available on the Commission’s Electronic Data Gathering, Analysis, and Retrieval system (“EDGAR”).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Clear Market.</w:t>
      </w:r>
      <w:r>
        <w:rPr>
          <w:rFonts w:ascii="Times New Roman" w:hAnsi="Times New Roman"/>
          <w:sz w:val="20"/>
        </w:rPr>
        <w:t xml:space="preserve"> For a period of 60 days after the date of the Prospectus, the Company will not (i) 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publicly disclose the intention to undertake any of the foregoing, or (ii) enter into any swap, hedging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Morgan Stanley &amp; Co. LLC and Jefferies LLC, other than the Shares to be sold hereunder.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provided that the Company shall cause each newly appointed director or executive officer that is a recipient of such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or other securities of the Company to enter into a lock-up agreement with the Underwriters substantially in the form of Exhibit A hereto for the remainder of the 60-day lock-up period; (iii) the filing of any registration statement on Form S-8 relating to securities granted or to be granted pursuant to any plan in effect as of the Closing Date and described in the Prospectus or any assumed benefit plan pursuant to an acquisition or similar strategic transaction; (iv) the sale of shares of Stock in “at-the-market” offerings pursuant to that Open Market Sale Agreement, by and between the Company and Jefferies LLC, dated November 4, 2021, as amended from time to time; provided, that no sales shall be made until 30 days from the date of the Prospectus; (v) shares of Stock or other securities issued in connection with a transaction with an unaffiliated third party that includes a debt financing or a bona fide commercial relationship (including joint ventures, marketing or distribution arrangements, collaboration agreements or intellectual property license agreements) or any acquisition of assets or acquisition of not less than a majority or controlling portion of the equity of another entity, provided that (x) the aggregate number of shares issued pursuant to this clause (v) shall not exceed five percent (5%) of the total number of outstanding shares of Stock immediately following the issuance and sale of the Shares pursuant hereto and (y) the recipient of any such shares of Stock and securities issued pursuant to this clause (v) during the 60-day restricted period described above shall enter into an agreement substantially in the form of Exhibit A hereto for the remainder of the 60-day lock-up period.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Use of Proceeds.</w:t>
      </w:r>
      <w:r>
        <w:rPr>
          <w:rFonts w:ascii="Times New Roman" w:hAnsi="Times New Roman"/>
          <w:sz w:val="20"/>
        </w:rPr>
        <w:t xml:space="preserve"> The Company will apply the net proceeds from the sale of the Shares in all material respects as described in each of the Registration Statement, the Pricing Disclosure Package and the Prospectus under the heading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Stabilization.</w:t>
      </w:r>
      <w:r>
        <w:rPr>
          <w:rFonts w:ascii="Times New Roman" w:hAnsi="Times New Roman"/>
          <w:sz w:val="20"/>
        </w:rPr>
        <w:t xml:space="preserve"> Neither the Company nor its subsidiaries or affiliates will take, directly or indirectly, any action designed to or that could reasonably be expected to cause or result in any stabilization or manipulation of the price of the Stock.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Exchange Listing</w:t>
      </w:r>
      <w:r>
        <w:rPr>
          <w:rFonts w:ascii="Times New Roman" w:hAnsi="Times New Roman"/>
          <w:sz w:val="20"/>
        </w:rPr>
        <w:t xml:space="preserve">. The Company will use its reasonable best efforts to list the Shares on the Nasdaq Market.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Reports.</w:t>
      </w:r>
      <w:r>
        <w:rPr>
          <w:rFonts w:ascii="Times New Roman" w:hAnsi="Times New Roman"/>
          <w:sz w:val="20"/>
        </w:rPr>
        <w:t xml:space="preserve"> For a period of three years from the effective date of the Registration Statement (provided that the Company remains subject to the reporting requirements of either Section 13 or Section 15(d) of the Exchange Act), the Company will furnish to the Representatives,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the Company will be deemed to have furnished such reports and financial statements to the Representatives to the extent they are filed or furnished on EDGAR; </w:t>
      </w:r>
      <w:r>
        <w:rPr>
          <w:rFonts w:ascii="Times New Roman" w:hAnsi="Times New Roman"/>
          <w:sz w:val="20"/>
          <w:u w:val="single"/>
        </w:rPr>
        <w:t>provided further</w:t>
      </w:r>
      <w:r>
        <w:rPr>
          <w:rFonts w:ascii="Times New Roman" w:hAnsi="Times New Roman"/>
          <w:sz w:val="20"/>
        </w:rPr>
        <w:t xml:space="preserve"> that no additional information shall be required if the disclosure of such additional information would result in a violation of Regulation FD.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Record Retention</w:t>
      </w:r>
      <w:r>
        <w:rPr>
          <w:rFonts w:ascii="Times New Roman" w:hAnsi="Times New Roman"/>
          <w:sz w:val="20"/>
        </w:rPr>
        <w:t xml:space="preserve">. The Company will, pursuant to reasonable procedures developed in good faith, retain copies of each Issuer Free Writing Prospectus that is not filed with the Commission in accordance with Rule 433 under the Securities Act for the time period required by such rule.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Shelf Renewal</w:t>
      </w:r>
      <w:r>
        <w:rPr>
          <w:rFonts w:ascii="Times New Roman" w:hAnsi="Times New Roman"/>
          <w:sz w:val="20"/>
        </w:rPr>
        <w:t xml:space="preserve">. If immediately prior to the third anniversary (the “Renewal Deadline”) of the initial effective date of the Registration Statement, any of the Shares remain unsold by the Underwriters, the Company will, prior to the Renewal Deadline, file, if it has not already done so and is eligible to do so, a new automatic shelf registration statement relating to the Shares, in a form satisfactory to the Representative. If the Company is not eligible to file an automatic shelf registration statement, the Company will, prior to the Renewal Deadline, if it has not already done so, file a new shelf registration statement relating to the Shares, in a form satisfactory to the Representative, and will use its best efforts to cause such registration statement to be declared effective within 180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Agreements of the Underwriters</w:t>
      </w:r>
      <w:r>
        <w:rPr>
          <w:rFonts w:ascii="Times New Roman" w:hAnsi="Times New Roman"/>
          <w:sz w:val="20"/>
        </w:rPr>
        <w:t xml:space="preserve">. Each Underwriter hereby represents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approved by the Company in advance in writing), or (iii) any free writing prospectus prepared by such underwriter and approved by the Company in advance in writing (each such free writing prospectus referred to in clauses (i) or (iii), an “Underwriter Free Writing Prospectus”). </w:t>
      </w:r>
    </w:p>
    <w:p>
      <w:pPr>
        <w:pStyle w:val="TextBody"/>
        <w:bidi w:val="0"/>
        <w:spacing w:before="120" w:after="0"/>
        <w:jc w:val="left"/>
        <w:rPr>
          <w:rFonts w:ascii="Times New Roman" w:hAnsi="Times New Roman"/>
          <w:sz w:val="20"/>
        </w:rPr>
      </w:pPr>
      <w:r>
        <w:rPr>
          <w:rFonts w:ascii="Times New Roman" w:hAnsi="Times New Roman"/>
          <w:sz w:val="20"/>
        </w:rPr>
        <w:t xml:space="preserve">(b) It has not and will not, without the prior written consent of the Company, use any free writing prospectus that contains the final terms of the offering of the Shares unless such terms have previously been included in a free writing prospectus filed with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It is not subject to any pending proceeding under Section 8A of the Securities Act with respect to the offering (and will promptly notify the Company if any such proceeding against it is initiated during the Prospectus Delivery Period).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representations and warranties of the Company contained herein shall be true and 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Material Adverse Change.</w:t>
      </w:r>
      <w:r>
        <w:rPr>
          <w:rFonts w:ascii="Times New Roman" w:hAnsi="Times New Roman"/>
          <w:sz w:val="20"/>
        </w:rPr>
        <w:t xml:space="preserve"> No event or condition of a type described in Section 3(i)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 Certificate.</w:t>
      </w:r>
      <w:r>
        <w:rPr>
          <w:rFonts w:ascii="Times New Roman" w:hAnsi="Times New Roman"/>
          <w:sz w:val="20"/>
        </w:rPr>
        <w:t xml:space="preserve"> The Representatives shall have received on and as of the Closing Date or the Additional Closing Date, as the case may be, a certificate of the principal financial officer or principal accounting officer of the Company and one additional senior executive officer of the Company who is satisfactory to the Representatives (i) confirming that such officers have reviewed the Registration Statement, the Pricing Disclosure Package and the Prospectus and, to the knowledge of such officers, the representations of the Company set forth in Sections 3(b) and 3(c)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and (c)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Comfort Letters.</w:t>
      </w:r>
      <w:r>
        <w:rPr>
          <w:rFonts w:ascii="Times New Roman" w:hAnsi="Times New Roman"/>
          <w:sz w:val="20"/>
        </w:rPr>
        <w:t xml:space="preserve"> On the date of this Agreement and on the Closing Date or the Additional Closing Date, as the case may be, Deloitte &amp; Touche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Opinion and 10b-5 Statement of Counsel for the Company.</w:t>
      </w:r>
      <w:r>
        <w:rPr>
          <w:rFonts w:ascii="Times New Roman" w:hAnsi="Times New Roman"/>
          <w:sz w:val="20"/>
        </w:rPr>
        <w:t xml:space="preserve"> Wilmer Cutler Pickering Hale and Dorr LLP, counsel for the Company, shall have furnished to the Representatives, at the request of the Company, their written opinion and negative assurance statement, dated the Closing Date or the Additional Closing Date, as the case may be, addressed to the Underwriters, in form and substance reasonably satisfactory to the Representatives and as previously agreed. </w:t>
      </w:r>
    </w:p>
    <w:p>
      <w:pPr>
        <w:pStyle w:val="TextBody"/>
        <w:bidi w:val="0"/>
        <w:spacing w:before="120" w:after="0"/>
        <w:jc w:val="left"/>
        <w:rPr>
          <w:rFonts w:ascii="Times New Roman" w:hAnsi="Times New Roman"/>
          <w:sz w:val="20"/>
        </w:rPr>
      </w:pPr>
      <w:r>
        <w:rPr>
          <w:rFonts w:ascii="Times New Roman" w:hAnsi="Times New Roman"/>
          <w:sz w:val="20"/>
        </w:rPr>
        <w:t>(g) O</w:t>
      </w:r>
      <w:r>
        <w:rPr>
          <w:rFonts w:ascii="Times New Roman" w:hAnsi="Times New Roman"/>
          <w:i/>
          <w:sz w:val="20"/>
        </w:rPr>
        <w:t>pinion of Intellectual Property Counsel for the Company</w:t>
      </w:r>
      <w:r>
        <w:rPr>
          <w:rFonts w:ascii="Times New Roman" w:hAnsi="Times New Roman"/>
          <w:sz w:val="20"/>
        </w:rPr>
        <w:t xml:space="preserve">. Wolf, Greenfield &amp; Sacks, P.C., intellectual property counsel for the Company, shall have furnished to the Representatives, at the request of the Company, their written opinion, dated the Closing Date or the Additional Closing Date, as the case may be, addressed to the Underwriters, in form and substance reasonably satisfactory to the Representatives and as previously agreed.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 and 10b-5 Statement of Counsel for the Underwriters.</w:t>
      </w:r>
      <w:r>
        <w:rPr>
          <w:rFonts w:ascii="Times New Roman" w:hAnsi="Times New Roman"/>
          <w:sz w:val="20"/>
        </w:rPr>
        <w:t xml:space="preserve"> The Representatives shall have received on and as of the Closing Date or the Additional Closing Date, as the case may be, an opinion and 10b-5 statement, addressed to the Underwriters, of Cooley LLP,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(i) RESERVED.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Legal Impediment to Issuance and Sale.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Good Standing</w:t>
      </w:r>
      <w:r>
        <w:rPr>
          <w:rFonts w:ascii="Times New Roman" w:hAnsi="Times New Roman"/>
          <w:sz w:val="20"/>
        </w:rPr>
        <w:t xml:space="preserve">. The Representatives shall have received on and as of the Closing Date or the Additional Closing Date, as the case may be, satisfactory evidence of the good standing of the Company and its subsidiaries in their respective jurisdictions of organization and their respective good standing in such other jurisdictions as the Representatives may reasonably request, in each case in writing or any standard form of telecommunication from the appropriate governmental authorities of such jurisdictions.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Exchange Listing.</w:t>
      </w:r>
      <w:r>
        <w:rPr>
          <w:rFonts w:ascii="Times New Roman" w:hAnsi="Times New Roman"/>
          <w:sz w:val="20"/>
        </w:rPr>
        <w:t xml:space="preserve"> The Company shall have submitted a Listing of Additional Shares Notification Form to the Nasdaq Market with respect to the Shares.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Lock-up Agreements</w:t>
      </w:r>
      <w:r>
        <w:rPr>
          <w:rFonts w:ascii="Times New Roman" w:hAnsi="Times New Roman"/>
          <w:sz w:val="20"/>
        </w:rPr>
        <w:t xml:space="preserve">. The “lock-up” agreements, each substantially in the form of Exhibit A hereto, between you and the executive officers and directors of the Company relating to sales and certain other dispositions of shares of Stock or certain other securities, delivered to you on or before the date hereof, shall be in full force and effect on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Additional Documents.</w:t>
      </w:r>
      <w:r>
        <w:rPr>
          <w:rFonts w:ascii="Times New Roman" w:hAnsi="Times New Roman"/>
          <w:sz w:val="20"/>
        </w:rPr>
        <w:t xml:space="preserve"> On or prior to the Closing Date or the Additional Closing Date, as the case may be, the Company shall have furnished to the Representatives such further certificates and documents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third paragraph of text under the caption “Underwriters” concerning the terms of the offering and the fourteenth paragraph of text under the caption “Underwriters” concerning stabilization.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reasonable and documented fees and expenses shall be paid or reimbursed as they are incurred upon receipt from the Indemnified Person of a written request for payment thereof accompanied by a written statement with reasonable supporting detail of such fees and expenses. Any such separate firm for any Underwriter, its affiliates, directors and officers and any control persons of such Underwriter shall be designated in writing by Morgan Stanley &amp; Co. LLC and Jefferies LLC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(A) more than 60 days after receipt by the Indemnifying Person of such request and (B) more than 30 days after receipt by the Indemnifying Person of the proposed terms of such settlement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paragraphs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Liability.</w:t>
      </w:r>
      <w:r>
        <w:rPr>
          <w:rFonts w:ascii="Times New Roman" w:hAnsi="Times New Roman"/>
          <w:sz w:val="20"/>
        </w:rPr>
        <w:t xml:space="preserve"> The Company and the Underwriters agree that it would not be just and equitable if contribution pursuant to paragraph (d) above were determined by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Non-Exclusive Remedies.</w:t>
      </w:r>
      <w:r>
        <w:rPr>
          <w:rFonts w:ascii="Times New Roman" w:hAnsi="Times New Roman"/>
          <w:sz w:val="20"/>
        </w:rPr>
        <w:t xml:space="preserve"> The remedies provided for in this Section 7 are not exclusive and shall not limit any rights or remedies which may otherwise be available to any Indemnified Person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Effectiveness of Agreement</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Representatives, by notice to the Company,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Defaulting Underwriter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and the Underwriters will continue to be liable for the payment of expenses as set forth in Section 11 hereof and except that the provisions of Section 7 hereof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Payment of Expenses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reasonable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and any “Canadian wrapper” (including the related fees and expenses of counsel for the Underwriters, not to exceed $5,000); (v) the cost of preparing stock certificates; (vi) the costs and charges of any transfer agent and any registrar; (vii) all expenses and application fees incurred in connection with any filing with, and clearance of the offering by, FINRA (including the reasonable and documented fees and expenses of counsel for the Underwriters, not to exceed $25,000); (viii) all expenses incurred by the Company in connection with any “road show” presentation to potential investors, provided that, (A) the Company and the Underwriters will each bear 50% of the cost of any aircraft used and (B) the Company and the Underwriters will each pay their own costs associated with hotel accommodations; and (ix) all expenses and application fees related to the listing of the Shares on the Nasdaq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(i) this Agreement is terminated pursuant to Section 9, (ii) the Company for any reason fails to tender the Shares for delivery to the Underwriters (other than by reason of a default by any Underwriter) or (iii) the Underwriters decline to purchase the Shares for any reason permitted under this Agreement (other than following termination of this Agreement pursuant to clauses (i), (iii) or (iv) of Section 9), the Company agrees to reimburse the Underwriters for all reasonable and documented out-of-pocket costs and expenses (including the reasonable and documented fees and expenses of their counsel) reasonably incurred by the Underwriters in connection with this Agreement and the offering contemplated hereby. For the avoidance of doubt, the Company will not pay or reimburse pursuant to this Section 11 any costs, fees or expenses incurred by any underwriter that defaults on its obligations to purchase the Shares or following termination of this Agreement by the Underwriters pursuant to clauses (i), (iii) or (iv) of Section 9.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Morgan Stanley &amp; Co. LLC, 1585 Broadway, New York, New York 10036, Attention: Equity Syndicate Desk, with a copy to the Legal Department; and c/o Jefferies LLC, 520 Madison Avenue, New York, New York 10022, Attention: General Counsel. Notices to the Company shall be given to it at 1560 Trapelo Road Waltham, Massachusetts, 02451, (fax: (781) 786-8866); Attention: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Submission to Jurisdiction</w:t>
      </w:r>
      <w:r>
        <w:rPr>
          <w:rFonts w:ascii="Times New Roman" w:hAnsi="Times New Roman"/>
          <w:sz w:val="20"/>
        </w:rPr>
        <w:t xml:space="preserve">.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 of Jury Trial.</w:t>
      </w:r>
      <w:r>
        <w:rPr>
          <w:rFonts w:ascii="Times New Roman" w:hAnsi="Times New Roman"/>
          <w:sz w:val="20"/>
        </w:rPr>
        <w:t xml:space="preserve"> Each of the parties hereto hereby irrevocably waives, to the fullest extent permitted by applicable law, any and all right to trial by jury in any suit or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16(e): </w:t>
      </w:r>
    </w:p>
    <w:p>
      <w:pPr>
        <w:pStyle w:val="TextBody"/>
        <w:bidi w:val="0"/>
        <w:spacing w:before="120" w:after="0"/>
        <w:jc w:val="left"/>
        <w:rPr/>
      </w:pPr>
      <w:r>
        <w:rPr/>
        <w:t>“</w:t>
      </w: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sz w:val="20"/>
        </w:rPr>
        <w:t xml:space="preserve">Covered Entity”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Counterparts.</w:t>
      </w:r>
      <w:r>
        <w:rPr>
          <w:rFonts w:ascii="Times New Roman" w:hAnsi="Times New Roman"/>
          <w:sz w:val="20"/>
        </w:rPr>
        <w:t xml:space="preserve"> This Agreement may be executed in one or more counterparts and, if executed in more than one counterpart, the executed counterparts shall each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Integration. </w:t>
      </w:r>
      <w:r>
        <w:rPr>
          <w:rFonts w:ascii="Times New Roman" w:hAnsi="Times New Roman"/>
          <w:sz w:val="20"/>
        </w:rPr>
        <w:t xml:space="preserve">This Agreement supersedes all prior agreements and understandings (whether written or oral) between the Company and the Underwriters, or any of them, with respect to the subject matter 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DYNE THERAPEUTICS,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John G. Cox</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John G. Cox</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Chief Executive Officer and President</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Underwriting Agreement</w:t>
      </w:r>
      <w:r>
        <w:rPr>
          <w:rFonts w:ascii="Times New Roman" w:hAnsi="Times New Roman"/>
          <w:b/>
          <w:i/>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first written above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JEFFERIES LLC </w:t>
      </w:r>
    </w:p>
    <w:p>
      <w:pPr>
        <w:pStyle w:val="TextBody"/>
        <w:bidi w:val="0"/>
        <w:spacing w:before="240" w:after="0"/>
        <w:jc w:val="left"/>
        <w:rPr>
          <w:rFonts w:ascii="Times New Roman" w:hAnsi="Times New Roman"/>
          <w:sz w:val="20"/>
        </w:rPr>
      </w:pPr>
      <w:r>
        <w:rPr>
          <w:rFonts w:ascii="Times New Roman" w:hAnsi="Times New Roman"/>
          <w:sz w:val="20"/>
        </w:rPr>
        <w:t xml:space="preserve">For themselves and on behalf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1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Kalli Dircks</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JEFFERIES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Gautham Baliga</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Authorized Signatory</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Underwriting Agreement</w:t>
      </w:r>
      <w:r>
        <w:rPr>
          <w:rFonts w:ascii="Times New Roman" w:hAnsi="Times New Roman"/>
          <w:b/>
          <w:i/>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27"/>
        <w:gridCol w:w="406"/>
        <w:gridCol w:w="66"/>
        <w:gridCol w:w="1243"/>
        <w:gridCol w:w="63"/>
      </w:tblGrid>
      <w:tr>
        <w:trPr/>
        <w:tc>
          <w:tcPr>
            <w:tcW w:w="8427"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2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Underwriter</w:t>
            </w:r>
          </w:p>
        </w:tc>
        <w:tc>
          <w:tcPr>
            <w:tcW w:w="406" w:type="dxa"/>
            <w:tcBorders/>
            <w:vAlign w:val="bottom"/>
          </w:tcPr>
          <w:p>
            <w:pPr>
              <w:pStyle w:val="TableContents"/>
              <w:bidi w:val="0"/>
              <w:spacing w:before="0" w:after="283"/>
              <w:jc w:val="left"/>
              <w:rPr/>
            </w:pPr>
            <w:r>
              <w:rPr/>
              <w:t>  </w:t>
            </w:r>
          </w:p>
        </w:tc>
        <w:tc>
          <w:tcPr>
            <w:tcW w:w="1309"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Number of Shares</w:t>
            </w:r>
          </w:p>
        </w:tc>
        <w:tc>
          <w:tcPr>
            <w:tcW w:w="63" w:type="dxa"/>
            <w:tcBorders/>
            <w:vAlign w:val="bottom"/>
          </w:tcPr>
          <w:p>
            <w:pPr>
              <w:pStyle w:val="TableContents"/>
              <w:bidi w:val="0"/>
              <w:spacing w:before="0" w:after="283"/>
              <w:jc w:val="left"/>
              <w:rPr/>
            </w:pPr>
            <w:r>
              <w:rPr/>
              <w:t> </w:t>
            </w:r>
          </w:p>
        </w:tc>
      </w:tr>
      <w:tr>
        <w:trPr/>
        <w:tc>
          <w:tcPr>
            <w:tcW w:w="8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40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6,222,000</w:t>
            </w:r>
          </w:p>
        </w:tc>
        <w:tc>
          <w:tcPr>
            <w:tcW w:w="63" w:type="dxa"/>
            <w:tcBorders/>
            <w:shd w:fill="CCEEFF" w:val="clear"/>
            <w:vAlign w:val="bottom"/>
          </w:tcPr>
          <w:p>
            <w:pPr>
              <w:pStyle w:val="TableContents"/>
              <w:bidi w:val="0"/>
              <w:spacing w:before="0" w:after="283"/>
              <w:jc w:val="left"/>
              <w:rPr/>
            </w:pPr>
            <w:r>
              <w:rPr/>
              <w:t> </w:t>
            </w:r>
          </w:p>
        </w:tc>
      </w:tr>
      <w:tr>
        <w:trPr/>
        <w:tc>
          <w:tcPr>
            <w:tcW w:w="8427" w:type="dxa"/>
            <w:tcBorders/>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40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5,490,000</w:t>
            </w:r>
          </w:p>
        </w:tc>
        <w:tc>
          <w:tcPr>
            <w:tcW w:w="63" w:type="dxa"/>
            <w:tcBorders/>
            <w:vAlign w:val="bottom"/>
          </w:tcPr>
          <w:p>
            <w:pPr>
              <w:pStyle w:val="TableContents"/>
              <w:bidi w:val="0"/>
              <w:spacing w:before="0" w:after="283"/>
              <w:jc w:val="left"/>
              <w:rPr/>
            </w:pPr>
            <w:r>
              <w:rPr/>
              <w:t> </w:t>
            </w:r>
          </w:p>
        </w:tc>
      </w:tr>
      <w:tr>
        <w:trPr/>
        <w:tc>
          <w:tcPr>
            <w:tcW w:w="8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40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3,660,000</w:t>
            </w:r>
          </w:p>
        </w:tc>
        <w:tc>
          <w:tcPr>
            <w:tcW w:w="63" w:type="dxa"/>
            <w:tcBorders/>
            <w:shd w:fill="CCEEFF" w:val="clear"/>
            <w:vAlign w:val="bottom"/>
          </w:tcPr>
          <w:p>
            <w:pPr>
              <w:pStyle w:val="TableContents"/>
              <w:bidi w:val="0"/>
              <w:spacing w:before="0" w:after="283"/>
              <w:jc w:val="left"/>
              <w:rPr/>
            </w:pPr>
            <w:r>
              <w:rPr/>
              <w:t> </w:t>
            </w:r>
          </w:p>
        </w:tc>
      </w:tr>
      <w:tr>
        <w:trPr/>
        <w:tc>
          <w:tcPr>
            <w:tcW w:w="8427" w:type="dxa"/>
            <w:tcBorders/>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40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1,464,000</w:t>
            </w:r>
          </w:p>
        </w:tc>
        <w:tc>
          <w:tcPr>
            <w:tcW w:w="63" w:type="dxa"/>
            <w:tcBorders/>
            <w:vAlign w:val="bottom"/>
          </w:tcPr>
          <w:p>
            <w:pPr>
              <w:pStyle w:val="TableContents"/>
              <w:bidi w:val="0"/>
              <w:spacing w:before="0" w:after="283"/>
              <w:jc w:val="left"/>
              <w:rPr/>
            </w:pPr>
            <w:r>
              <w:rPr/>
              <w:t> </w:t>
            </w:r>
          </w:p>
        </w:tc>
      </w:tr>
      <w:tr>
        <w:trPr/>
        <w:tc>
          <w:tcPr>
            <w:tcW w:w="8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40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1,098,000</w:t>
            </w:r>
          </w:p>
        </w:tc>
        <w:tc>
          <w:tcPr>
            <w:tcW w:w="63" w:type="dxa"/>
            <w:tcBorders/>
            <w:shd w:fill="CCEEFF" w:val="clear"/>
            <w:vAlign w:val="bottom"/>
          </w:tcPr>
          <w:p>
            <w:pPr>
              <w:pStyle w:val="TableContents"/>
              <w:bidi w:val="0"/>
              <w:spacing w:before="0" w:after="283"/>
              <w:jc w:val="left"/>
              <w:rPr/>
            </w:pPr>
            <w:r>
              <w:rPr/>
              <w:t> </w:t>
            </w:r>
          </w:p>
        </w:tc>
      </w:tr>
      <w:tr>
        <w:trPr/>
        <w:tc>
          <w:tcPr>
            <w:tcW w:w="8427" w:type="dxa"/>
            <w:tcBorders/>
          </w:tcPr>
          <w:p>
            <w:pPr>
              <w:pStyle w:val="TableContents"/>
              <w:bidi w:val="0"/>
              <w:spacing w:before="0" w:after="0"/>
              <w:jc w:val="left"/>
              <w:rPr>
                <w:rFonts w:ascii="Times New Roman" w:hAnsi="Times New Roman"/>
                <w:sz w:val="20"/>
              </w:rPr>
            </w:pPr>
            <w:r>
              <w:rPr>
                <w:rFonts w:ascii="Times New Roman" w:hAnsi="Times New Roman"/>
                <w:sz w:val="20"/>
              </w:rPr>
              <w:t>JonesTrading Institutional Services LLC</w:t>
            </w:r>
          </w:p>
        </w:tc>
        <w:tc>
          <w:tcPr>
            <w:tcW w:w="40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366,000</w:t>
            </w:r>
          </w:p>
        </w:tc>
        <w:tc>
          <w:tcPr>
            <w:tcW w:w="63" w:type="dxa"/>
            <w:tcBorders/>
            <w:vAlign w:val="bottom"/>
          </w:tcPr>
          <w:p>
            <w:pPr>
              <w:pStyle w:val="TableContents"/>
              <w:bidi w:val="0"/>
              <w:spacing w:before="0" w:after="283"/>
              <w:jc w:val="left"/>
              <w:rPr/>
            </w:pPr>
            <w:r>
              <w:rPr/>
              <w:t> </w:t>
            </w:r>
          </w:p>
        </w:tc>
      </w:tr>
      <w:tr>
        <w:trPr/>
        <w:tc>
          <w:tcPr>
            <w:tcW w:w="8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18,300,000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Sch.-1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Pricing Disclosure Package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Pricing Information Provided Orally by Underwriters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number of Underwritten Shares purchased by the Underwriters is 18,300,000. </w:t>
      </w:r>
    </w:p>
    <w:p>
      <w:pPr>
        <w:pStyle w:val="TextBody"/>
        <w:bidi w:val="0"/>
        <w:spacing w:before="120" w:after="0"/>
        <w:jc w:val="left"/>
        <w:rPr>
          <w:rFonts w:ascii="Times New Roman" w:hAnsi="Times New Roman"/>
          <w:sz w:val="20"/>
        </w:rPr>
      </w:pPr>
      <w:r>
        <w:rPr>
          <w:rFonts w:ascii="Times New Roman" w:hAnsi="Times New Roman"/>
          <w:sz w:val="20"/>
        </w:rPr>
        <w:t xml:space="preserve">The number of Option Shares is 2,745,000. </w:t>
      </w:r>
    </w:p>
    <w:p>
      <w:pPr>
        <w:pStyle w:val="TextBody"/>
        <w:bidi w:val="0"/>
        <w:spacing w:before="120" w:after="0"/>
        <w:jc w:val="left"/>
        <w:rPr>
          <w:rFonts w:ascii="Times New Roman" w:hAnsi="Times New Roman"/>
          <w:sz w:val="20"/>
        </w:rPr>
      </w:pPr>
      <w:r>
        <w:rPr>
          <w:rFonts w:ascii="Times New Roman" w:hAnsi="Times New Roman"/>
          <w:sz w:val="20"/>
        </w:rPr>
        <w:t xml:space="preserve">The public offering price per share is $20.50.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Written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 2026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w:t>
      </w:r>
    </w:p>
    <w:p>
      <w:pPr>
        <w:pStyle w:val="TextBody"/>
        <w:bidi w:val="0"/>
        <w:spacing w:before="0" w:after="0"/>
        <w:jc w:val="left"/>
        <w:rPr>
          <w:rFonts w:ascii="Times New Roman" w:hAnsi="Times New Roman"/>
          <w:sz w:val="20"/>
        </w:rPr>
      </w:pPr>
      <w:r>
        <w:rPr>
          <w:rFonts w:ascii="Times New Roman" w:hAnsi="Times New Roman"/>
          <w:sz w:val="20"/>
        </w:rPr>
        <w:t xml:space="preserve">the several Underwriters listed in </w:t>
      </w:r>
    </w:p>
    <w:p>
      <w:pPr>
        <w:pStyle w:val="TextBody"/>
        <w:bidi w:val="0"/>
        <w:spacing w:before="0" w:after="0"/>
        <w:jc w:val="left"/>
        <w:rPr>
          <w:rFonts w:ascii="Times New Roman" w:hAnsi="Times New Roman"/>
          <w:sz w:val="20"/>
        </w:rPr>
      </w:pPr>
      <w:r>
        <w:rPr>
          <w:rFonts w:ascii="Times New Roman" w:hAnsi="Times New Roman"/>
          <w:sz w:val="20"/>
        </w:rPr>
        <w:t xml:space="preserve">Schedule 1 to the Underwriting </w:t>
      </w:r>
    </w:p>
    <w:p>
      <w:pPr>
        <w:pStyle w:val="TextBody"/>
        <w:bidi w:val="0"/>
        <w:spacing w:before="0" w:after="0"/>
        <w:jc w:val="left"/>
        <w:rPr>
          <w:rFonts w:ascii="Times New Roman" w:hAnsi="Times New Roman"/>
          <w:sz w:val="20"/>
        </w:rPr>
      </w:pPr>
      <w:r>
        <w:rPr>
          <w:rFonts w:ascii="Times New Roman" w:hAnsi="Times New Roman"/>
          <w:sz w:val="20"/>
        </w:rPr>
        <w:t xml:space="preserve">Agreement referred to below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Dyne Therapeutics, Inc. — Public Offering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understands that you, as representatives (the “Representatives”) of the several Underwriters, propose to enter into an underwriting agreement (the “Underwriting Agreement”) with Dyne Therapeutics, Inc., a Delaware corporation (the “Company”), providing for the public offering (the “Public Offering”) by the several Underwriters named in Schedule 1 to the Underwriting Agreement (the “Underwriters”), of common stock, par value $0.0001 per share (the “Common Stock”), of the Company (the “Securities”). Capitalized terms used herein and not otherwise defined shall have the meanings set forth in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Underwriters’ agreement to purchase and make the Public Offering of the Securities, and for other good and valuable consideration receipt of which is hereby acknowledged, the undersigned hereby agrees that, without the prior written consent of Morgan Stanley &amp; Co. LLC and Jefferies LLC on behalf of the Underwriters, the undersigned will not, and will not cause any direct or indirect affiliate to, during the period beginning on the date of this letter agreement (this “Letter Agreement”) and ending at the close of business 60 days after the date of the final prospectus supplement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the undersigned may: </w:t>
      </w:r>
    </w:p>
    <w:p>
      <w:pPr>
        <w:pStyle w:val="TextBody"/>
        <w:bidi w:val="0"/>
        <w:spacing w:before="120" w:after="0"/>
        <w:jc w:val="left"/>
        <w:rPr>
          <w:rFonts w:ascii="Times New Roman" w:hAnsi="Times New Roman"/>
          <w:sz w:val="20"/>
        </w:rPr>
      </w:pPr>
      <w:r>
        <w:rPr>
          <w:rFonts w:ascii="Times New Roman" w:hAnsi="Times New Roman"/>
          <w:sz w:val="20"/>
        </w:rPr>
        <w:t xml:space="preserve">(a) transfer or dispose of the undersigned’s Lock-Up Securities: </w:t>
      </w:r>
    </w:p>
    <w:p>
      <w:pPr>
        <w:pStyle w:val="TextBody"/>
        <w:bidi w:val="0"/>
        <w:spacing w:before="120" w:after="0"/>
        <w:jc w:val="left"/>
        <w:rPr>
          <w:rFonts w:ascii="Times New Roman" w:hAnsi="Times New Roman"/>
          <w:sz w:val="20"/>
        </w:rPr>
      </w:pPr>
      <w:r>
        <w:rPr>
          <w:rFonts w:ascii="Times New Roman" w:hAnsi="Times New Roman"/>
          <w:sz w:val="20"/>
        </w:rPr>
        <w:t xml:space="preserve">(i) as a bona fide gift or gifts, or for bona fide estate planning purposes, </w:t>
      </w:r>
    </w:p>
    <w:p>
      <w:pPr>
        <w:pStyle w:val="TextBody"/>
        <w:bidi w:val="0"/>
        <w:spacing w:before="240" w:after="0"/>
        <w:jc w:val="left"/>
        <w:rPr>
          <w:rFonts w:ascii="Times New Roman" w:hAnsi="Times New Roman"/>
          <w:sz w:val="20"/>
        </w:rPr>
      </w:pPr>
      <w:r>
        <w:rPr>
          <w:rFonts w:ascii="Times New Roman" w:hAnsi="Times New Roman"/>
          <w:sz w:val="20"/>
        </w:rPr>
        <w:t xml:space="preserve">(ii) by will, other testamentary document or intestacy, </w:t>
      </w:r>
    </w:p>
    <w:p>
      <w:pPr>
        <w:pStyle w:val="TextBody"/>
        <w:bidi w:val="0"/>
        <w:spacing w:before="240" w:after="0"/>
        <w:jc w:val="left"/>
        <w:rPr>
          <w:rFonts w:ascii="Times New Roman" w:hAnsi="Times New Roman"/>
          <w:sz w:val="20"/>
        </w:rPr>
      </w:pPr>
      <w:r>
        <w:rPr>
          <w:rFonts w:ascii="Times New Roman" w:hAnsi="Times New Roman"/>
          <w:sz w:val="20"/>
        </w:rPr>
        <w:t xml:space="preserve">(iii) 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 </w:t>
      </w:r>
    </w:p>
    <w:p>
      <w:pPr>
        <w:pStyle w:val="TextBody"/>
        <w:bidi w:val="0"/>
        <w:spacing w:before="240" w:after="0"/>
        <w:jc w:val="left"/>
        <w:rPr>
          <w:rFonts w:ascii="Times New Roman" w:hAnsi="Times New Roman"/>
          <w:sz w:val="20"/>
        </w:rPr>
      </w:pPr>
      <w:r>
        <w:rPr>
          <w:rFonts w:ascii="Times New Roman" w:hAnsi="Times New Roman"/>
          <w:sz w:val="20"/>
        </w:rPr>
        <w:t xml:space="preserve">(iv) to a corporation, partnership, limited liability company, trust or other entity of which the undersigned and/or one or more members of the immediate family of the undersigned are, directly or indirectly, the legal and beneficial owner of all of the outstanding equity securities or similar interests, </w:t>
      </w:r>
    </w:p>
    <w:p>
      <w:pPr>
        <w:pStyle w:val="TextBody"/>
        <w:bidi w:val="0"/>
        <w:spacing w:before="240" w:after="0"/>
        <w:jc w:val="left"/>
        <w:rPr>
          <w:rFonts w:ascii="Times New Roman" w:hAnsi="Times New Roman"/>
          <w:sz w:val="20"/>
        </w:rPr>
      </w:pPr>
      <w:r>
        <w:rPr>
          <w:rFonts w:ascii="Times New Roman" w:hAnsi="Times New Roman"/>
          <w:sz w:val="20"/>
        </w:rPr>
        <w:t xml:space="preserve">(v) to a nominee or custodian of a person or entity to whom a disposition or transfer would be permissible under clauses (i) through (iv) above, </w:t>
      </w:r>
    </w:p>
    <w:p>
      <w:pPr>
        <w:pStyle w:val="TextBody"/>
        <w:bidi w:val="0"/>
        <w:spacing w:before="240" w:after="0"/>
        <w:jc w:val="left"/>
        <w:rPr>
          <w:rFonts w:ascii="Times New Roman" w:hAnsi="Times New Roman"/>
          <w:sz w:val="20"/>
        </w:rPr>
      </w:pPr>
      <w:r>
        <w:rPr>
          <w:rFonts w:ascii="Times New Roman" w:hAnsi="Times New Roman"/>
          <w:sz w:val="20"/>
        </w:rPr>
        <w:t xml:space="preserve">(vi)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or other transfer to general or limited partners, members or shareholders of, or other holders of equity in,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(vii) by operation of law, such as pursuant to a qualified domestic order, divorce settlement, divorce decree, separation agreement or court order, </w:t>
      </w:r>
    </w:p>
    <w:p>
      <w:pPr>
        <w:pStyle w:val="TextBody"/>
        <w:bidi w:val="0"/>
        <w:spacing w:before="240" w:after="0"/>
        <w:jc w:val="left"/>
        <w:rPr>
          <w:rFonts w:ascii="Times New Roman" w:hAnsi="Times New Roman"/>
          <w:sz w:val="20"/>
        </w:rPr>
      </w:pPr>
      <w:r>
        <w:rPr>
          <w:rFonts w:ascii="Times New Roman" w:hAnsi="Times New Roman"/>
          <w:sz w:val="20"/>
        </w:rPr>
        <w:t xml:space="preserve">(viii) to the Company from an employee or other service provider of the Company upon death, disability or termination of employment or service relationship, in each case, of such employee or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(ix) as part of a sale of the undersigned’s Lock-Up Securities acquired in the Public Offering (other than, in the case of an officer or director of the Company, any Securities such officer or director may purchase in the Public Offering) or in open market transactions after the closing date for the Public Offering,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 granted under a stock incentive plan or other equity award plan or other arrangement, each such agreement, plan or arrangement which is described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(xi) 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similar transaction is not completed, the undersigned’s Lock-Up Securities shall remain subject to the provisions of this Letter Agreement, or </w:t>
      </w:r>
    </w:p>
    <w:p>
      <w:pPr>
        <w:pStyle w:val="TextBody"/>
        <w:bidi w:val="0"/>
        <w:spacing w:before="240" w:after="0"/>
        <w:jc w:val="left"/>
        <w:rPr>
          <w:rFonts w:ascii="Times New Roman" w:hAnsi="Times New Roman"/>
          <w:sz w:val="20"/>
        </w:rPr>
      </w:pPr>
      <w:r>
        <w:rPr>
          <w:rFonts w:ascii="Times New Roman" w:hAnsi="Times New Roman"/>
          <w:sz w:val="20"/>
        </w:rPr>
        <w:t xml:space="preserve">(xii) pursuant to a contract, instruction or plan that met the requirements of Rule 10b5-1 under the Securities Exchange Act of 1934, as amended (the “Exchange Act”) on the date such contract, instruction or plan was entered into or adopted (a “10b5-1 Plan”); provided that such 10b5-1 Plan was established prior to the execution of this Letter Agreement by the undersigned, the existence and details of such 10b5-1 Plan were communicated to the Representatives and such 10b5-1 Plan will not be amended or otherwise modified during the Restricted Period; provided, further, that any filing under Section 16(a) of the Exchange Act in connection with such transfer shall indicate, to the extent permitted by such section and the related rules and regulations, that such transfer was pursuant to a 10b5-1 Plan;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 in the case of any transfer, disposition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 (ii), (iii), (iv), (v), (vi) and (ix), no filing by any party (donor, donee, devisee, transferor, transferee, distributer or distributee) under the Exchange Act, or other public announcement shall be required or shall be made voluntarily in connection with such transfer or distribution (other than a filing on a Form 5 or any required Schedule 13F, Schedule 13G or Schedule 13G/A, in each case made after the expiration of the Restricted Period referred to above) and (C) in the case of any transfer, disposition or distribution pursuant to clause (a)(i), (vii), (viii)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(b) exercise outstanding options, settle restricted stock units or other equity awards granted pursuant to plans or other equity compensation arrangements or exercise warrants, in each case described in the Registration Statement, the Pricing Disclosure Package and the Prospectus; provided that any Lock-up Securities received upon such exercise, vesting or settlement shall be subject to the terms of this Letter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convert convertible securities or warrants to acquire shares of Common Stock into shares of Common Stock; provided that any such shares of Common Stock or warrants received upon such conversion shall be subject to the terms of this Letter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(d) establish one or more trading plans pursuant to Rule 10b5-1 under the Exchange Act for the transfer or disposition of shares of Lock-Up Securities; </w:t>
      </w:r>
      <w:r>
        <w:rPr>
          <w:rFonts w:ascii="Times New Roman" w:hAnsi="Times New Roman"/>
          <w:sz w:val="20"/>
          <w:u w:val="single"/>
        </w:rPr>
        <w:t>provided</w:t>
      </w:r>
      <w:r>
        <w:rPr>
          <w:rFonts w:ascii="Times New Roman" w:hAnsi="Times New Roman"/>
          <w:sz w:val="20"/>
        </w:rPr>
        <w:t xml:space="preserve"> that (1) such plans do not provide for the transfer or disposition of Lock-Up Securities during the Restricted Period, (2) no filing or public announcement shall be made voluntarily in connection with such trading plan and (3) any required public announcement or filing under the Exchange Act made by the undersigned, the Company or any other person regarding the establishment of such trading plan during the Restricted Period shall include a statement that the undersigned is not permitted to transfer, sell or otherwise dispose of securities under such trading plan during the Restricted Period in contravention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enter into this Letter Agreement, and nothing set forth in such disclosures is intended to suggest that the Representatives or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This Letter Agreement shall automatically, and without any action on the part of any other party, terminate and be of no further force and effect, and the undersigned shall automatically be released from all obligations under this Letter Agreement if: (i) the Underwriting Agreement does not become effective by July 31, 2026; (ii) the Underwriting Agreement (other than the provisions thereof which survive termination) shall terminate or be terminated prior to payment for and delivery of the Securities to be sold thereunder; (iii) either the Company, on the one hand, or the Representatives, on the other hand, notifies the other in writing prior to the execution of the Underwriting Agreement that it does not intend to proceed with the Public Offering; or (iv) the registration statement filed with the Securities and Exchange Commission in connection with the Public Offering is withdrawn prior to the execution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Underwriting Agreement. The undersigned understands that the Underwriters are entering into the Underwriting Agreement and proceeding with the Public Offering in reliance upon this Letter Agreement. 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This Letter Agreement and any claim, controversy or dispute arising under or related to this Letter Agreement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3"/>
        <w:gridCol w:w="110"/>
        <w:gridCol w:w="3359"/>
      </w:tblGrid>
      <w:tr>
        <w:trPr/>
        <w:tc>
          <w:tcPr>
            <w:tcW w:w="613"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rPr>
              <w:t>[NAME OF STOCKHOLDER]</w:t>
            </w:r>
          </w:p>
        </w:tc>
      </w:tr>
      <w:tr>
        <w:trPr>
          <w:trHeight w:val="240" w:hRule="atLeast"/>
        </w:trPr>
        <w:tc>
          <w:tcPr>
            <w:tcW w:w="61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 </w:t>
            </w:r>
          </w:p>
        </w:tc>
      </w:tr>
      <w:tr>
        <w:trPr/>
        <w:tc>
          <w:tcPr>
            <w:tcW w:w="61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Name:</w:t>
            </w:r>
          </w:p>
        </w:tc>
      </w:tr>
      <w:tr>
        <w:trPr/>
        <w:tc>
          <w:tcPr>
            <w:tcW w:w="61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Title:</w:t>
            </w:r>
          </w:p>
        </w:tc>
      </w:tr>
    </w:tbl>
    <w:p>
      <w:pPr>
        <w:pStyle w:val="TextBody"/>
        <w:bidi w:val="0"/>
        <w:spacing w:before="0" w:after="0"/>
        <w:jc w:val="right"/>
        <w:rPr>
          <w:rFonts w:ascii="Times New Roman" w:hAnsi="Times New Roman"/>
          <w:b/>
          <w:sz w:val="20"/>
        </w:rPr>
      </w:pPr>
      <w:bookmarkStart w:id="4" w:name="d112911dex51.htm"/>
      <w:bookmarkStart w:id="5" w:name="ksd112911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17157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152400"/>
                    </a:xfrm>
                    <a:prstGeom prst="rect">
                      <a:avLst/>
                    </a:prstGeom>
                  </pic:spPr>
                </pic:pic>
              </a:graphicData>
            </a:graphic>
          </wp:inline>
        </w:drawing>
      </w:r>
      <w:r>
        <w:rPr/>
        <w:t xml:space="preserve"> </w:t>
      </w:r>
    </w:p>
    <w:p>
      <w:pPr>
        <w:pStyle w:val="TextBody"/>
        <w:bidi w:val="0"/>
        <w:spacing w:before="120" w:after="0"/>
        <w:jc w:val="right"/>
        <w:rPr>
          <w:rFonts w:ascii="Times New Roman" w:hAnsi="Times New Roman"/>
          <w:sz w:val="20"/>
        </w:rPr>
      </w:pPr>
      <w:r>
        <w:rPr>
          <w:rFonts w:ascii="Times New Roman" w:hAnsi="Times New Roman"/>
          <w:sz w:val="20"/>
        </w:rPr>
        <w:t xml:space="preserve">+1 617 526 6000 (t) </w:t>
      </w:r>
    </w:p>
    <w:p>
      <w:pPr>
        <w:pStyle w:val="TextBody"/>
        <w:bidi w:val="0"/>
        <w:spacing w:before="0" w:after="0"/>
        <w:jc w:val="right"/>
        <w:rPr>
          <w:rFonts w:ascii="Times New Roman" w:hAnsi="Times New Roman"/>
          <w:sz w:val="20"/>
        </w:rPr>
      </w:pPr>
      <w:r>
        <w:rPr>
          <w:rFonts w:ascii="Times New Roman" w:hAnsi="Times New Roman"/>
          <w:sz w:val="20"/>
        </w:rPr>
        <w:t xml:space="preserve">+1 617 526 5000 (f) </w:t>
      </w:r>
    </w:p>
    <w:p>
      <w:pPr>
        <w:pStyle w:val="TextBody"/>
        <w:bidi w:val="0"/>
        <w:spacing w:before="0" w:after="0"/>
        <w:jc w:val="right"/>
        <w:rPr>
          <w:rFonts w:ascii="Times New Roman" w:hAnsi="Times New Roman"/>
          <w:sz w:val="20"/>
        </w:rPr>
      </w:pPr>
      <w:r>
        <w:rPr>
          <w:rFonts w:ascii="Times New Roman" w:hAnsi="Times New Roman"/>
          <w:sz w:val="20"/>
        </w:rPr>
        <w:t xml:space="preserve">www.wilmerhale.com </w:t>
      </w:r>
    </w:p>
    <w:p>
      <w:pPr>
        <w:pStyle w:val="TextBody"/>
        <w:bidi w:val="0"/>
        <w:spacing w:before="0" w:after="0"/>
        <w:jc w:val="left"/>
        <w:rPr>
          <w:rFonts w:ascii="Times New Roman" w:hAnsi="Times New Roman"/>
          <w:sz w:val="20"/>
        </w:rPr>
      </w:pPr>
      <w:r>
        <w:rPr>
          <w:rFonts w:ascii="Times New Roman" w:hAnsi="Times New Roman"/>
          <w:sz w:val="20"/>
        </w:rPr>
        <w:t xml:space="preserve">July 22, 2026 </w:t>
      </w:r>
    </w:p>
    <w:p>
      <w:pPr>
        <w:pStyle w:val="TextBody"/>
        <w:bidi w:val="0"/>
        <w:spacing w:before="240" w:after="0"/>
        <w:jc w:val="left"/>
        <w:rPr>
          <w:rFonts w:ascii="Times New Roman" w:hAnsi="Times New Roman"/>
          <w:sz w:val="20"/>
        </w:rPr>
      </w:pPr>
      <w:r>
        <w:rPr>
          <w:rFonts w:ascii="Times New Roman" w:hAnsi="Times New Roman"/>
          <w:sz w:val="20"/>
        </w:rPr>
        <w:t xml:space="preserve">Dyne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1560 Trapelo Road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Dyne Therapeutics, Inc. – 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This opinion is being furnished to you in connection with (i) the Registration Statement on Form S-3 (File No. 333-277655) (the “Registration Statement”) filed by Dyne Therapeutics, Inc., a Delaware corporation (the “Company”), with the Securities and Exchange Commission (the “Commission”) under the Securities Act of 1933, as amended (the “Securities Act”), for the registration of, among other things, shares of the Company’s common stock, $0.0001 par value per share (the “Common Stock”), which may be issued from time to time on a delayed or continuous basis pursuant to Rule 415 under the Securities Act at an indeterminate aggregate offering price, as set forth in the Registration Statement and the base prospectus contained therein (the “Base Prospectus”), (ii) the prospectus supplement, dated July 21, 2026 (the “Prospectus Supplement” and, together with the Base Prospectus, the “Prospectus”) and (iii) the issuance and sale by the Company pursuant to the Registration Statement of up to 21,045,000 shares of Common Stock, including up to 2,745,000 shares of Common Stock issuable upon exercise of an option to purchase additional shares granted by the Company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Shares are to be issued and sold by the Company pursuant to an underwriting agreement, dated July 21, 2026 (the “Underwriting Agreement”), by and among the Company and Morgan Stanley &amp; Co. LLC and Jefferies LLC, as representatives of the underwriters named therein. The Underwriting Agreement is being filed with the Commission as Exhibit 1.1 to the Company’s Current Report on Form 8-K, filed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are acting as counsel for the Company in connection with the issue and sale by the Company of the Shares. We have examined and relied upon a signed copy of the Registration Statement and the Prospectus, each as filed with the Commission. We have also examined and relied upon the Underwriting Agreement, minutes of meetings and actions of the stockholders and the Board of Directors of the Company, including the committees thereof, as provided to us by the Company, the Restated Certificate of Incorporation and Amended and Restated Bylaws of the Company, each as restated and/or amended to date, and such other documents, instruments and certificates as we have deemed necessary for the purposes of rendering the opinions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848350"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48350" cy="3524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Dyne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July 22,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express no opinion herein as to the laws of any state or jurisdiction other than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the Shares have been duly authorized for issuance and, when the Shares are issued and paid for in accordance with the terms and conditions of the Underwriting Agreement,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in accordance with the requirements of Item 601(b)(5) of Regulation S-K under the Securities Act, as an exhibit to the Current Report on Form 8-K to be filed by the Company on the date hereof in connection with the sale of the Shares and to the use of our name therein and in the Prospectus Supplement and any related prospectus supplement under the caption “Legal Matters.” In giving such consent, we do not hereby admit that we are in the category of persons whose consent is required under Section 7 of the Securities Act or the rules and regulations of the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093"/>
        <w:gridCol w:w="306"/>
        <w:gridCol w:w="1683"/>
      </w:tblGrid>
      <w:tr>
        <w:trPr/>
        <w:tc>
          <w:tcPr>
            <w:tcW w:w="2093"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Wilmer Cutler Pickering Hale and Dorr LLP</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WILMER CUTLER PICKERING HALE AND DORR LLP</w:t>
            </w:r>
          </w:p>
        </w:tc>
      </w:tr>
    </w:tbl>
    <w:p>
      <w:pPr>
        <w:pStyle w:val="TextBody"/>
        <w:bidi w:val="0"/>
        <w:spacing w:before="0" w:after="0"/>
        <w:jc w:val="right"/>
        <w:rPr>
          <w:rFonts w:ascii="Times New Roman" w:hAnsi="Times New Roman"/>
          <w:b/>
          <w:sz w:val="20"/>
        </w:rPr>
      </w:pPr>
      <w:bookmarkStart w:id="6" w:name="d112911dex991.htm"/>
      <w:bookmarkStart w:id="7" w:name="ksd112911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430655" cy="5721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30655" cy="5721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Dyne Therapeutics Announces Pricing of Upsized $375 Million Public Offering of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240" w:after="0"/>
        <w:jc w:val="left"/>
        <w:rPr>
          <w:rFonts w:ascii="Times New Roman" w:hAnsi="Times New Roman"/>
          <w:sz w:val="20"/>
        </w:rPr>
      </w:pPr>
      <w:r>
        <w:rPr>
          <w:rFonts w:ascii="Times New Roman" w:hAnsi="Times New Roman"/>
          <w:b/>
          <w:sz w:val="20"/>
        </w:rPr>
        <w:t>WALTHAM, Mass., July</w:t>
      </w:r>
      <w:r>
        <w:rPr>
          <w:rFonts w:ascii="Times New Roman" w:hAnsi="Times New Roman"/>
          <w:sz w:val="20"/>
        </w:rPr>
        <w:t> </w:t>
      </w:r>
      <w:r>
        <w:rPr>
          <w:rFonts w:ascii="Times New Roman" w:hAnsi="Times New Roman"/>
          <w:b/>
          <w:sz w:val="20"/>
        </w:rPr>
        <w:t>21, 2026 (GLOBE NEWSWIRE)</w:t>
      </w:r>
      <w:r>
        <w:rPr>
          <w:rFonts w:ascii="Times New Roman" w:hAnsi="Times New Roman"/>
          <w:sz w:val="20"/>
        </w:rPr>
        <w:t xml:space="preserve"> -- Dyne Therapeutics, Inc. (Nasdaq: DYN), a clinical-stage company focused on delivering functional improvement for people living with genetically driven neuromuscular diseases, today announced the pricing of an upsized underwritten public offering of 18,300,000 shares of its common stock at a public offering price of $20.50 per share. The gross proceeds to Dyne from the offering, before deducting underwriting discounts and commissions and offering expenses payable by Dyne, are expected to be $375,150,000. All shares in the offering are being sold by Dyne. The offering is expected to close on or about July 23, 2026, subject to customary closing conditions. In addition, Dyne has granted the underwriters a 30-day option to purchase up to an additional 2,745,000 shares of its common stock at the public offering price, less the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Jefferies and Evercore ISI are acting as joint book-running managers for the offering. LifeSci Capital and Raymond James are also acting as joint book-running managers for the offering. Jones is acting as lead manager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a shelf registration statement on Form S-3 that was previously filed with the Securities and Exchange Commission (“SEC”) on March 5, 2024 and became automatically effective upon filing. This offering is being made only by means of a prospectus supplement and accompanying prospectus that form a part of the registration statement. A preliminary prospectus supplement relating to and describing the terms of the offering has been filed with the SEC and may be obtained for free by visiting the SEC’s website at www.sec.gov. A final prospectus supplement relating to the offering will be filed with the SEC. When available, copies of the final prospectus supplement and the accompanying prospectus may also be obtained by contacting: Morgan Stanley &amp; Co. LLC, Attention: Prospectus Department, 180 Varick Street, 2nd Floor, New York, NY 10014, or by email at prospectus@morganstanley.com; Jefferies LLC, Attention: Equity Syndicate Prospectus Department, 520 Madison Avenue, New York, NY 10022, by telephone at (877) 821-7388, or by email at </w:t>
      </w:r>
      <w:r>
        <w:rPr>
          <w:rFonts w:ascii="Times New Roman" w:hAnsi="Times New Roman"/>
          <w:sz w:val="20"/>
          <w:u w:val="single"/>
        </w:rPr>
        <w:t>Prospectus_Department@Jefferies.com</w:t>
      </w:r>
      <w:r>
        <w:rPr>
          <w:rFonts w:ascii="Times New Roman" w:hAnsi="Times New Roman"/>
          <w:sz w:val="20"/>
        </w:rPr>
        <w:t>; Evercore Group L.L.C., Attention: Equity Capital Markets, 55 East 52nd Street, 35th Floor, New York, NY 10055, by telephone at (888) 474-0200, or by email at </w:t>
      </w:r>
      <w:r>
        <w:rPr>
          <w:rFonts w:ascii="Times New Roman" w:hAnsi="Times New Roman"/>
          <w:sz w:val="20"/>
          <w:u w:val="single"/>
        </w:rPr>
        <w:t>ecm.prospectus@evercore.com</w:t>
      </w:r>
      <w:r>
        <w:rPr>
          <w:rFonts w:ascii="Times New Roman" w:hAnsi="Times New Roman"/>
          <w:sz w:val="20"/>
        </w:rPr>
        <w:t xml:space="preserve">; LifeSci Capital LLC, Attention: LifeSci Capital LLC, 1700 Broadway, 40th Floor, New York, NY 10019, or by email at legalnotices@lifescicapital.com; or Raymond James &amp; Associates, Inc., at 880 Carillon Parkway, St. Petersburg, Florida 33716, Attention: Equity Syndicate, by calling toll-free at 1-800-248-8863, or emailing at prospectus@raymondjames.com.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Dyne Therapeutics </w:t>
      </w:r>
    </w:p>
    <w:p>
      <w:pPr>
        <w:pStyle w:val="TextBody"/>
        <w:bidi w:val="0"/>
        <w:spacing w:before="120" w:after="0"/>
        <w:jc w:val="left"/>
        <w:rPr>
          <w:rFonts w:ascii="Times New Roman" w:hAnsi="Times New Roman"/>
          <w:sz w:val="20"/>
        </w:rPr>
      </w:pPr>
      <w:r>
        <w:rPr>
          <w:rFonts w:ascii="Times New Roman" w:hAnsi="Times New Roman"/>
          <w:sz w:val="20"/>
        </w:rPr>
        <w:t xml:space="preserve">Dyne Therapeutics is focused on delivering functional improvement for people living with genetically driven neuromuscular diseases. We are developing therapeutics that target muscle and the central nervous system (CNS) to address the root cause of disease. The company is advancing clinical programs for Duchenne muscular dystrophy (DMD) and myotonic dystrophy type 1 (DM1), as well as preclinical programs for facioscapulohumeral muscular dystrophy (FSHD), Pompe disease and multiple DMD mutations. At Dyne, we are on a mission to deliver functional improvement for individuals, families and communities. </w:t>
      </w:r>
    </w:p>
    <w:p>
      <w:pPr>
        <w:pStyle w:val="TextBody"/>
        <w:bidi w:val="0"/>
        <w:spacing w:before="360" w:after="0"/>
        <w:jc w:val="left"/>
        <w:rPr>
          <w:rFonts w:ascii="Times New Roman" w:hAnsi="Times New Roman"/>
          <w:b/>
          <w:sz w:val="20"/>
        </w:rPr>
      </w:pPr>
      <w:r>
        <w:rPr>
          <w:rFonts w:ascii="Times New Roman" w:hAnsi="Times New Roman"/>
          <w:b/>
          <w:sz w:val="20"/>
        </w:rPr>
        <w:t>Forward-Looking Statements</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that involve substantial risks and uncertainties. All statements, other than statements of historical facts, contained in this press release, including statements relating to the anticipated closing date of the public offering, constitute forward-looking statements within the meaning of The Private Securities Litigation Reform Act of 1995. The words “anticipate,” “believe,” “continue,” “could,” “estimate,” “expect,” “intend,” “may,” “might,” “objective,” “ongoing,” “plan,” “predict,” “project,” “potential,” “should,” or “would,” or the negative of these terms, or other comparable terminology are intended to identify forward-looking statements, although not all forward-looking statements contain these identifying words. Dyne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the risks and uncertainties related to the satisfaction of customary closing conditions for the public offering and other factors discussed in the “Risk Factors” section of the preliminary prospectus supplement filed with the SEC on July 21, 2026, as well as the risks and uncertainties identified in Dyne’s filings with the SEC, including Dyne’s most recent Form 10-Q and in subsequent filings Dyne may make with the SEC. In addition, the forward-looking statements included in this press release represent Dyne’s views as of the date of this press release. Dyne anticipates that subsequent events and developments will cause its views to change. However, while Dyne may elect to update these forward-looking statements at some point in the future, it specifically disclaims any obligation to do so. These forward-looking statements should not be relied upon as representing Dyne’s views as of any date subsequent to the date of this press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Mia Tobias </w:t>
      </w:r>
    </w:p>
    <w:p>
      <w:pPr>
        <w:pStyle w:val="TextBody"/>
        <w:bidi w:val="0"/>
        <w:spacing w:before="0" w:after="0"/>
        <w:jc w:val="left"/>
        <w:rPr>
          <w:rFonts w:ascii="Times New Roman" w:hAnsi="Times New Roman"/>
          <w:sz w:val="20"/>
        </w:rPr>
      </w:pPr>
      <w:r>
        <w:rPr>
          <w:rFonts w:ascii="Times New Roman" w:hAnsi="Times New Roman"/>
          <w:sz w:val="20"/>
        </w:rPr>
        <w:t xml:space="preserve">ir@dyne-tx.com </w:t>
      </w:r>
    </w:p>
    <w:p>
      <w:pPr>
        <w:pStyle w:val="TextBody"/>
        <w:bidi w:val="0"/>
        <w:spacing w:before="0" w:after="0"/>
        <w:jc w:val="left"/>
        <w:rPr>
          <w:rFonts w:ascii="Times New Roman" w:hAnsi="Times New Roman"/>
          <w:sz w:val="20"/>
        </w:rPr>
      </w:pPr>
      <w:r>
        <w:rPr>
          <w:rFonts w:ascii="Times New Roman" w:hAnsi="Times New Roman"/>
          <w:sz w:val="20"/>
        </w:rPr>
        <w:t xml:space="preserve">781-317-0353 </w:t>
      </w:r>
    </w:p>
    <w:p>
      <w:pPr>
        <w:pStyle w:val="TextBody"/>
        <w:bidi w:val="0"/>
        <w:spacing w:before="36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Stacy Nartker </w:t>
      </w:r>
    </w:p>
    <w:p>
      <w:pPr>
        <w:pStyle w:val="TextBody"/>
        <w:bidi w:val="0"/>
        <w:spacing w:before="0" w:after="0"/>
        <w:jc w:val="left"/>
        <w:rPr>
          <w:rFonts w:ascii="Times New Roman" w:hAnsi="Times New Roman"/>
          <w:sz w:val="20"/>
        </w:rPr>
      </w:pPr>
      <w:r>
        <w:rPr>
          <w:rFonts w:ascii="Times New Roman" w:hAnsi="Times New Roman"/>
          <w:sz w:val="20"/>
        </w:rPr>
        <w:t xml:space="preserve">snartker@dyne-tx.com </w:t>
      </w:r>
    </w:p>
    <w:p>
      <w:pPr>
        <w:pStyle w:val="TextBody"/>
        <w:bidi w:val="0"/>
        <w:spacing w:before="0" w:after="0"/>
        <w:jc w:val="left"/>
        <w:rPr>
          <w:rFonts w:ascii="Times New Roman" w:hAnsi="Times New Roman"/>
          <w:sz w:val="20"/>
        </w:rPr>
      </w:pPr>
      <w:r>
        <w:rPr>
          <w:rFonts w:ascii="Times New Roman" w:hAnsi="Times New Roman"/>
          <w:sz w:val="20"/>
        </w:rPr>
        <w:t xml:space="preserve">781-317-1938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27702</Words>
  <Characters>148932</Characters>
  <CharactersWithSpaces>176686</CharactersWithSpaces>
  <Paragraphs>602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