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24.35</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163,854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w:t>
            </w:r>
            <w:r>
              <w:rPr>
                <w:rFonts w:ascii="Times;serif" w:hAnsi="Times;serif"/>
                <w:color w:val="008000"/>
                <w:position w:val="7"/>
                <w:sz w:val="16"/>
                <w:sz w:val="20"/>
                <w:shd w:fill="FFFFFF" w:val="clear"/>
              </w:rPr>
              <w:t>(4)</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162,564</w:t>
            </w:r>
            <w:r>
              <w:rPr>
                <w:rFonts w:ascii="Times;serif" w:hAnsi="Times;serif"/>
                <w:color w:val="008000"/>
                <w:position w:val="7"/>
                <w:sz w:val="16"/>
                <w:sz w:val="20"/>
                <w:shd w:fill="FFFFFF" w:val="clear"/>
              </w:rPr>
              <w:t>(5)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September 3,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$24.27 to $24.50,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automatically sold by the Reporting Person to satisfy tax withholding obligations in connection with the vesting of restricted stock units granted to the Reporting Person on December 4,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the range of $18.77 to $18.92,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125,126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189"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889</Words>
  <Characters>4806</Characters>
  <CharactersWithSpaces>5615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