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7"/>
          <w:szCs w:val="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460" w:right="760" w:hanging="3304"/>
        <w:spacing w:after="0" w:line="224" w:lineRule="auto"/>
        <w:tabs>
          <w:tab w:leader="none" w:pos="1236"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September 30, 2026</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600" w:right="780" w:hanging="2444"/>
        <w:spacing w:after="0" w:line="218" w:lineRule="auto"/>
        <w:tabs>
          <w:tab w:leader="none" w:pos="1241"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spacing w:after="0" w:line="38" w:lineRule="exact"/>
        <w:rPr>
          <w:rFonts w:ascii="MS PGothic" w:cs="MS PGothic" w:eastAsia="MS PGothic" w:hAnsi="MS PGothic"/>
          <w:sz w:val="36"/>
          <w:szCs w:val="36"/>
          <w:color w:val="auto"/>
          <w:highlight w:val="black"/>
          <w:vertAlign w:val="superscript"/>
        </w:rPr>
      </w:pPr>
    </w:p>
    <w:p>
      <w:pPr>
        <w:ind w:left="406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Commission File Number: 001-39509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Dyne Therapeutics,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1" w:lineRule="exact"/>
        <w:rPr>
          <w:sz w:val="24"/>
          <w:szCs w:val="24"/>
          <w:color w:val="auto"/>
        </w:rPr>
      </w:pPr>
    </w:p>
    <w:tbl>
      <w:tblPr>
        <w:tblLayout w:type="fixed"/>
        <w:tblInd w:w="1300" w:type="dxa"/>
        <w:tblCellMar>
          <w:top w:w="0" w:type="dxa"/>
          <w:left w:w="0" w:type="dxa"/>
          <w:bottom w:w="0" w:type="dxa"/>
          <w:right w:w="0" w:type="dxa"/>
        </w:tblCellMar>
      </w:tblPr>
      <w:tr>
        <w:trPr>
          <w:trHeight w:val="189"/>
        </w:trPr>
        <w:tc>
          <w:tcPr>
            <w:tcW w:w="3400" w:type="dxa"/>
            <w:vAlign w:val="bottom"/>
          </w:tcPr>
          <w:p>
            <w:pPr>
              <w:jc w:val="center"/>
              <w:ind w:right="279"/>
              <w:spacing w:after="0"/>
              <w:rPr>
                <w:sz w:val="20"/>
                <w:szCs w:val="20"/>
                <w:color w:val="auto"/>
              </w:rPr>
            </w:pPr>
            <w:r>
              <w:rPr>
                <w:rFonts w:ascii="Arial" w:cs="Arial" w:eastAsia="Arial" w:hAnsi="Arial"/>
                <w:sz w:val="16"/>
                <w:szCs w:val="16"/>
                <w:b w:val="1"/>
                <w:bCs w:val="1"/>
                <w:color w:val="auto"/>
              </w:rPr>
              <w:t>Delaware</w:t>
            </w:r>
          </w:p>
        </w:tc>
        <w:tc>
          <w:tcPr>
            <w:tcW w:w="4420" w:type="dxa"/>
            <w:vAlign w:val="bottom"/>
          </w:tcPr>
          <w:p>
            <w:pPr>
              <w:jc w:val="right"/>
              <w:ind w:right="179"/>
              <w:spacing w:after="0"/>
              <w:rPr>
                <w:sz w:val="20"/>
                <w:szCs w:val="20"/>
                <w:color w:val="auto"/>
              </w:rPr>
            </w:pPr>
            <w:r>
              <w:rPr>
                <w:rFonts w:ascii="Arial" w:cs="Arial" w:eastAsia="Arial" w:hAnsi="Arial"/>
                <w:sz w:val="16"/>
                <w:szCs w:val="16"/>
                <w:b w:val="1"/>
                <w:bCs w:val="1"/>
                <w:color w:val="auto"/>
              </w:rPr>
              <w:t>36-4883909</w:t>
            </w:r>
          </w:p>
        </w:tc>
      </w:tr>
      <w:tr>
        <w:trPr>
          <w:trHeight w:val="189"/>
        </w:trPr>
        <w:tc>
          <w:tcPr>
            <w:tcW w:w="3400" w:type="dxa"/>
            <w:vAlign w:val="bottom"/>
          </w:tcPr>
          <w:p>
            <w:pPr>
              <w:jc w:val="center"/>
              <w:ind w:right="299"/>
              <w:spacing w:after="0"/>
              <w:rPr>
                <w:sz w:val="20"/>
                <w:szCs w:val="20"/>
                <w:color w:val="auto"/>
              </w:rPr>
            </w:pPr>
            <w:r>
              <w:rPr>
                <w:rFonts w:ascii="Arial" w:cs="Arial" w:eastAsia="Arial" w:hAnsi="Arial"/>
                <w:sz w:val="16"/>
                <w:szCs w:val="16"/>
                <w:b w:val="1"/>
                <w:bCs w:val="1"/>
                <w:color w:val="auto"/>
              </w:rPr>
              <w:t>(State or other jurisdiction of</w:t>
            </w:r>
          </w:p>
        </w:tc>
        <w:tc>
          <w:tcPr>
            <w:tcW w:w="4420" w:type="dxa"/>
            <w:vAlign w:val="bottom"/>
          </w:tcPr>
          <w:p>
            <w:pPr>
              <w:jc w:val="center"/>
              <w:ind w:left="2979"/>
              <w:spacing w:after="0"/>
              <w:rPr>
                <w:sz w:val="20"/>
                <w:szCs w:val="20"/>
                <w:color w:val="auto"/>
              </w:rPr>
            </w:pPr>
            <w:r>
              <w:rPr>
                <w:rFonts w:ascii="Arial" w:cs="Arial" w:eastAsia="Arial" w:hAnsi="Arial"/>
                <w:sz w:val="16"/>
                <w:szCs w:val="16"/>
                <w:b w:val="1"/>
                <w:bCs w:val="1"/>
                <w:color w:val="auto"/>
              </w:rPr>
              <w:t>(I.R.S. Employer</w:t>
            </w:r>
          </w:p>
        </w:tc>
      </w:tr>
      <w:tr>
        <w:trPr>
          <w:trHeight w:val="189"/>
        </w:trPr>
        <w:tc>
          <w:tcPr>
            <w:tcW w:w="3400" w:type="dxa"/>
            <w:vAlign w:val="bottom"/>
          </w:tcPr>
          <w:p>
            <w:pPr>
              <w:jc w:val="center"/>
              <w:ind w:right="279"/>
              <w:spacing w:after="0"/>
              <w:rPr>
                <w:sz w:val="20"/>
                <w:szCs w:val="20"/>
                <w:color w:val="auto"/>
              </w:rPr>
            </w:pPr>
            <w:r>
              <w:rPr>
                <w:rFonts w:ascii="Arial" w:cs="Arial" w:eastAsia="Arial" w:hAnsi="Arial"/>
                <w:sz w:val="16"/>
                <w:szCs w:val="16"/>
                <w:b w:val="1"/>
                <w:bCs w:val="1"/>
                <w:color w:val="auto"/>
              </w:rPr>
              <w:t>incorporation or organization)</w:t>
            </w:r>
          </w:p>
        </w:tc>
        <w:tc>
          <w:tcPr>
            <w:tcW w:w="4420" w:type="dxa"/>
            <w:vAlign w:val="bottom"/>
          </w:tcPr>
          <w:p>
            <w:pPr>
              <w:jc w:val="center"/>
              <w:ind w:left="2959"/>
              <w:spacing w:after="0"/>
              <w:rPr>
                <w:sz w:val="20"/>
                <w:szCs w:val="20"/>
                <w:color w:val="auto"/>
              </w:rPr>
            </w:pPr>
            <w:r>
              <w:rPr>
                <w:rFonts w:ascii="Arial" w:cs="Arial" w:eastAsia="Arial" w:hAnsi="Arial"/>
                <w:sz w:val="16"/>
                <w:szCs w:val="16"/>
                <w:b w:val="1"/>
                <w:bCs w:val="1"/>
                <w:color w:val="auto"/>
              </w:rPr>
              <w:t>Identification No.)</w:t>
            </w:r>
          </w:p>
        </w:tc>
      </w:tr>
      <w:tr>
        <w:trPr>
          <w:trHeight w:val="189"/>
        </w:trPr>
        <w:tc>
          <w:tcPr>
            <w:tcW w:w="3400" w:type="dxa"/>
            <w:vAlign w:val="bottom"/>
          </w:tcPr>
          <w:p>
            <w:pPr>
              <w:jc w:val="center"/>
              <w:ind w:right="279"/>
              <w:spacing w:after="0"/>
              <w:rPr>
                <w:sz w:val="20"/>
                <w:szCs w:val="20"/>
                <w:color w:val="auto"/>
              </w:rPr>
            </w:pPr>
            <w:r>
              <w:rPr>
                <w:rFonts w:ascii="Arial" w:cs="Arial" w:eastAsia="Arial" w:hAnsi="Arial"/>
                <w:sz w:val="16"/>
                <w:szCs w:val="16"/>
                <w:b w:val="1"/>
                <w:bCs w:val="1"/>
                <w:color w:val="auto"/>
              </w:rPr>
              <w:t>1560 Trapelo Road</w:t>
            </w:r>
          </w:p>
        </w:tc>
        <w:tc>
          <w:tcPr>
            <w:tcW w:w="4420" w:type="dxa"/>
            <w:vAlign w:val="bottom"/>
          </w:tcPr>
          <w:p>
            <w:pPr>
              <w:spacing w:after="0"/>
              <w:rPr>
                <w:sz w:val="16"/>
                <w:szCs w:val="16"/>
                <w:color w:val="auto"/>
              </w:rPr>
            </w:pPr>
          </w:p>
        </w:tc>
      </w:tr>
      <w:tr>
        <w:trPr>
          <w:trHeight w:val="189"/>
        </w:trPr>
        <w:tc>
          <w:tcPr>
            <w:tcW w:w="3400" w:type="dxa"/>
            <w:vAlign w:val="bottom"/>
          </w:tcPr>
          <w:p>
            <w:pPr>
              <w:jc w:val="center"/>
              <w:ind w:right="279"/>
              <w:spacing w:after="0"/>
              <w:rPr>
                <w:sz w:val="20"/>
                <w:szCs w:val="20"/>
                <w:color w:val="auto"/>
              </w:rPr>
            </w:pPr>
            <w:r>
              <w:rPr>
                <w:rFonts w:ascii="Arial" w:cs="Arial" w:eastAsia="Arial" w:hAnsi="Arial"/>
                <w:sz w:val="16"/>
                <w:szCs w:val="16"/>
                <w:b w:val="1"/>
                <w:bCs w:val="1"/>
                <w:color w:val="auto"/>
              </w:rPr>
              <w:t>Waltham, Massachusetts</w:t>
            </w:r>
          </w:p>
        </w:tc>
        <w:tc>
          <w:tcPr>
            <w:tcW w:w="4420" w:type="dxa"/>
            <w:vAlign w:val="bottom"/>
          </w:tcPr>
          <w:p>
            <w:pPr>
              <w:jc w:val="right"/>
              <w:ind w:right="379"/>
              <w:spacing w:after="0"/>
              <w:rPr>
                <w:sz w:val="20"/>
                <w:szCs w:val="20"/>
                <w:color w:val="auto"/>
              </w:rPr>
            </w:pPr>
            <w:r>
              <w:rPr>
                <w:rFonts w:ascii="Arial" w:cs="Arial" w:eastAsia="Arial" w:hAnsi="Arial"/>
                <w:sz w:val="16"/>
                <w:szCs w:val="16"/>
                <w:b w:val="1"/>
                <w:bCs w:val="1"/>
                <w:color w:val="auto"/>
              </w:rPr>
              <w:t>02451</w:t>
            </w:r>
          </w:p>
        </w:tc>
      </w:tr>
      <w:tr>
        <w:trPr>
          <w:trHeight w:val="223"/>
        </w:trPr>
        <w:tc>
          <w:tcPr>
            <w:tcW w:w="3400" w:type="dxa"/>
            <w:vAlign w:val="bottom"/>
          </w:tcPr>
          <w:p>
            <w:pPr>
              <w:jc w:val="center"/>
              <w:ind w:right="299"/>
              <w:spacing w:after="0"/>
              <w:rPr>
                <w:sz w:val="20"/>
                <w:szCs w:val="20"/>
                <w:color w:val="auto"/>
              </w:rPr>
            </w:pPr>
            <w:r>
              <w:rPr>
                <w:rFonts w:ascii="Arial" w:cs="Arial" w:eastAsia="Arial" w:hAnsi="Arial"/>
                <w:sz w:val="16"/>
                <w:szCs w:val="16"/>
                <w:b w:val="1"/>
                <w:bCs w:val="1"/>
                <w:color w:val="auto"/>
              </w:rPr>
              <w:t>(Address of principal executive offices)</w:t>
            </w:r>
          </w:p>
        </w:tc>
        <w:tc>
          <w:tcPr>
            <w:tcW w:w="4420" w:type="dxa"/>
            <w:vAlign w:val="bottom"/>
          </w:tcPr>
          <w:p>
            <w:pPr>
              <w:jc w:val="center"/>
              <w:ind w:left="2979"/>
              <w:spacing w:after="0"/>
              <w:rPr>
                <w:sz w:val="20"/>
                <w:szCs w:val="20"/>
                <w:color w:val="auto"/>
              </w:rPr>
            </w:pPr>
            <w:r>
              <w:rPr>
                <w:rFonts w:ascii="Arial" w:cs="Arial" w:eastAsia="Arial" w:hAnsi="Arial"/>
                <w:sz w:val="16"/>
                <w:szCs w:val="16"/>
                <w:b w:val="1"/>
                <w:bCs w:val="1"/>
                <w:color w:val="auto"/>
              </w:rPr>
              <w:t>(Zip Code)</w:t>
            </w:r>
          </w:p>
        </w:tc>
      </w:tr>
      <w:tr>
        <w:trPr>
          <w:trHeight w:val="270"/>
        </w:trPr>
        <w:tc>
          <w:tcPr>
            <w:tcW w:w="3400" w:type="dxa"/>
            <w:vAlign w:val="bottom"/>
          </w:tcPr>
          <w:p>
            <w:pPr>
              <w:spacing w:after="0"/>
              <w:rPr>
                <w:sz w:val="23"/>
                <w:szCs w:val="23"/>
                <w:color w:val="auto"/>
              </w:rPr>
            </w:pPr>
          </w:p>
        </w:tc>
        <w:tc>
          <w:tcPr>
            <w:tcW w:w="4420" w:type="dxa"/>
            <w:vAlign w:val="bottom"/>
          </w:tcPr>
          <w:p>
            <w:pPr>
              <w:jc w:val="right"/>
              <w:ind w:right="2859"/>
              <w:spacing w:after="0"/>
              <w:rPr>
                <w:sz w:val="20"/>
                <w:szCs w:val="20"/>
                <w:color w:val="auto"/>
              </w:rPr>
            </w:pPr>
            <w:r>
              <w:rPr>
                <w:rFonts w:ascii="Arial" w:cs="Arial" w:eastAsia="Arial" w:hAnsi="Arial"/>
                <w:sz w:val="16"/>
                <w:szCs w:val="16"/>
                <w:b w:val="1"/>
                <w:bCs w:val="1"/>
                <w:color w:val="auto"/>
              </w:rPr>
              <w:t>(781) 786-8230</w:t>
            </w:r>
          </w:p>
        </w:tc>
      </w:tr>
    </w:tbl>
    <w:p>
      <w:pPr>
        <w:spacing w:after="0" w:line="34" w:lineRule="exact"/>
        <w:rPr>
          <w:sz w:val="24"/>
          <w:szCs w:val="24"/>
          <w:color w:val="auto"/>
        </w:rPr>
      </w:pPr>
    </w:p>
    <w:p>
      <w:pPr>
        <w:ind w:left="358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-115570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7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382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6"/>
                <w:szCs w:val="16"/>
                <w:color w:val="auto"/>
              </w:rPr>
              <w:t>DYN</w:t>
            </w: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41" w:lineRule="exact"/>
        <w:rPr>
          <w:sz w:val="24"/>
          <w:szCs w:val="24"/>
          <w:color w:val="auto"/>
        </w:rPr>
      </w:pPr>
    </w:p>
    <w:p>
      <w:pPr>
        <w:ind w:right="120" w:firstLine="50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40" w:firstLine="50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80" w:firstLine="50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5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5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5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2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140" w:firstLine="50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20" w:right="126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30, 2026, the registrant had 187,386,963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80" w:type="dxa"/>
            <w:vAlign w:val="bottom"/>
            <w:gridSpan w:val="26"/>
            <w:vMerge w:val="restart"/>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80" w:type="dxa"/>
            <w:vAlign w:val="bottom"/>
            <w:gridSpan w:val="26"/>
            <w:vMerge w:val="continue"/>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14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226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9"/>
              </w:rPr>
              <w:t>FINANCIAL INFORMATION</w:t>
            </w:r>
          </w:p>
        </w:tc>
        <w:tc>
          <w:tcPr>
            <w:tcW w:w="20" w:type="dxa"/>
            <w:vAlign w:val="bottom"/>
            <w:tcBorders>
              <w:top w:val="single" w:sz="8" w:color="0000FF"/>
              <w:bottom w:val="single" w:sz="8" w:color="0000EE"/>
            </w:tcBorders>
          </w:tcPr>
          <w:p>
            <w:pPr>
              <w:spacing w:after="0"/>
              <w:rPr>
                <w:sz w:val="15"/>
                <w:szCs w:val="15"/>
                <w:color w:val="auto"/>
              </w:rPr>
            </w:pPr>
          </w:p>
        </w:tc>
        <w:tc>
          <w:tcPr>
            <w:tcW w:w="260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15"/>
                <w:szCs w:val="15"/>
                <w:color w:val="auto"/>
              </w:rPr>
            </w:pPr>
          </w:p>
        </w:tc>
        <w:tc>
          <w:tcPr>
            <w:tcW w:w="6740" w:type="dxa"/>
            <w:vAlign w:val="bottom"/>
            <w:gridSpan w:val="11"/>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13"/>
          </w:tcPr>
          <w:p>
            <w:pPr>
              <w:spacing w:after="0" w:line="182" w:lineRule="exact"/>
              <w:rPr>
                <w:sz w:val="20"/>
                <w:szCs w:val="20"/>
                <w:color w:val="auto"/>
              </w:rPr>
            </w:pPr>
            <w:r>
              <w:rPr>
                <w:rFonts w:ascii="Arial" w:cs="Arial" w:eastAsia="Arial" w:hAnsi="Arial"/>
                <w:sz w:val="18"/>
                <w:szCs w:val="18"/>
                <w:color w:val="0000FF"/>
                <w:w w:val="98"/>
              </w:rPr>
              <w:t>Condensed Consolidated Balance</w:t>
            </w:r>
          </w:p>
        </w:tc>
        <w:tc>
          <w:tcPr>
            <w:tcW w:w="6740" w:type="dxa"/>
            <w:vAlign w:val="bottom"/>
            <w:gridSpan w:val="11"/>
          </w:tcPr>
          <w:p>
            <w:pPr>
              <w:ind w:left="80"/>
              <w:spacing w:after="0" w:line="182" w:lineRule="exact"/>
              <w:rPr>
                <w:sz w:val="20"/>
                <w:szCs w:val="20"/>
                <w:color w:val="auto"/>
              </w:rPr>
            </w:pPr>
            <w:r>
              <w:rPr>
                <w:rFonts w:ascii="Arial" w:cs="Arial" w:eastAsia="Arial" w:hAnsi="Arial"/>
                <w:sz w:val="18"/>
                <w:szCs w:val="18"/>
                <w:color w:val="0000FF"/>
              </w:rPr>
              <w:t>Sheets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6100" w:type="dxa"/>
            <w:vAlign w:val="bottom"/>
            <w:gridSpan w:val="10"/>
          </w:tcPr>
          <w:p>
            <w:pPr>
              <w:spacing w:after="0" w:line="182" w:lineRule="exact"/>
              <w:rPr>
                <w:sz w:val="20"/>
                <w:szCs w:val="20"/>
                <w:color w:val="auto"/>
              </w:rPr>
            </w:pPr>
            <w:r>
              <w:rPr>
                <w:rFonts w:ascii="Arial" w:cs="Arial" w:eastAsia="Arial" w:hAnsi="Arial"/>
                <w:sz w:val="18"/>
                <w:szCs w:val="18"/>
                <w:color w:val="0000FF"/>
              </w:rPr>
              <w:t>Operations and Comprehensive Loss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700" w:type="dxa"/>
            <w:vAlign w:val="bottom"/>
            <w:tcBorders>
              <w:top w:val="single" w:sz="8" w:color="0000FF"/>
            </w:tcBorders>
            <w:gridSpan w:val="4"/>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gridSpan w:val="2"/>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40" w:type="dxa"/>
            <w:vAlign w:val="bottom"/>
            <w:gridSpan w:val="24"/>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534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4100" w:type="dxa"/>
            <w:vAlign w:val="bottom"/>
            <w:gridSpan w:val="3"/>
          </w:tcPr>
          <w:p>
            <w:pPr>
              <w:ind w:left="20"/>
              <w:spacing w:after="0" w:line="182" w:lineRule="exact"/>
              <w:rPr>
                <w:sz w:val="20"/>
                <w:szCs w:val="20"/>
                <w:color w:val="auto"/>
              </w:rPr>
            </w:pPr>
            <w:r>
              <w:rPr>
                <w:rFonts w:ascii="Arial" w:cs="Arial" w:eastAsia="Arial" w:hAnsi="Arial"/>
                <w:sz w:val="18"/>
                <w:szCs w:val="18"/>
                <w:color w:val="0000FF"/>
              </w:rPr>
              <w:t>Results of Operations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3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472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tcPr>
          <w:p>
            <w:pPr>
              <w:spacing w:after="0"/>
              <w:rPr>
                <w:sz w:val="15"/>
                <w:szCs w:val="15"/>
                <w:color w:val="auto"/>
              </w:rPr>
            </w:pPr>
          </w:p>
        </w:tc>
        <w:tc>
          <w:tcPr>
            <w:tcW w:w="458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560" w:type="dxa"/>
            <w:vAlign w:val="bottom"/>
            <w:gridSpan w:val="3"/>
          </w:tcPr>
          <w:p>
            <w:pPr>
              <w:spacing w:after="0"/>
              <w:rPr>
                <w:sz w:val="15"/>
                <w:szCs w:val="15"/>
                <w:color w:val="auto"/>
              </w:rPr>
            </w:pPr>
          </w:p>
        </w:tc>
        <w:tc>
          <w:tcPr>
            <w:tcW w:w="2300" w:type="dxa"/>
            <w:vAlign w:val="bottom"/>
            <w:gridSpan w:val="7"/>
          </w:tcPr>
          <w:p>
            <w:pPr>
              <w:spacing w:after="0"/>
              <w:rPr>
                <w:sz w:val="15"/>
                <w:szCs w:val="15"/>
                <w:color w:val="auto"/>
              </w:rPr>
            </w:pPr>
          </w:p>
        </w:tc>
        <w:tc>
          <w:tcPr>
            <w:tcW w:w="458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9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Legal Proceedings</w:t>
            </w:r>
          </w:p>
        </w:tc>
        <w:tc>
          <w:tcPr>
            <w:tcW w:w="600" w:type="dxa"/>
            <w:vAlign w:val="bottom"/>
            <w:gridSpan w:val="4"/>
          </w:tcPr>
          <w:p>
            <w:pPr>
              <w:spacing w:after="0"/>
              <w:rPr>
                <w:sz w:val="15"/>
                <w:szCs w:val="15"/>
                <w:color w:val="auto"/>
              </w:rPr>
            </w:pPr>
          </w:p>
        </w:tc>
        <w:tc>
          <w:tcPr>
            <w:tcW w:w="2300" w:type="dxa"/>
            <w:vAlign w:val="bottom"/>
            <w:gridSpan w:val="7"/>
          </w:tcPr>
          <w:p>
            <w:pPr>
              <w:spacing w:after="0"/>
              <w:rPr>
                <w:sz w:val="15"/>
                <w:szCs w:val="15"/>
                <w:color w:val="auto"/>
              </w:rPr>
            </w:pPr>
          </w:p>
        </w:tc>
        <w:tc>
          <w:tcPr>
            <w:tcW w:w="458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tcPr>
          <w:p>
            <w:pPr>
              <w:spacing w:after="0"/>
              <w:rPr>
                <w:sz w:val="15"/>
                <w:szCs w:val="15"/>
                <w:color w:val="auto"/>
              </w:rPr>
            </w:pPr>
          </w:p>
        </w:tc>
        <w:tc>
          <w:tcPr>
            <w:tcW w:w="620" w:type="dxa"/>
            <w:vAlign w:val="bottom"/>
            <w:gridSpan w:val="5"/>
          </w:tcPr>
          <w:p>
            <w:pPr>
              <w:spacing w:after="0"/>
              <w:rPr>
                <w:sz w:val="15"/>
                <w:szCs w:val="15"/>
                <w:color w:val="auto"/>
              </w:rPr>
            </w:pPr>
          </w:p>
        </w:tc>
        <w:tc>
          <w:tcPr>
            <w:tcW w:w="2300" w:type="dxa"/>
            <w:vAlign w:val="bottom"/>
            <w:gridSpan w:val="7"/>
          </w:tcPr>
          <w:p>
            <w:pPr>
              <w:spacing w:after="0"/>
              <w:rPr>
                <w:sz w:val="15"/>
                <w:szCs w:val="15"/>
                <w:color w:val="auto"/>
              </w:rPr>
            </w:pPr>
          </w:p>
        </w:tc>
        <w:tc>
          <w:tcPr>
            <w:tcW w:w="458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5"/>
              </w:rPr>
              <w:t>Unregistered</w:t>
            </w:r>
          </w:p>
        </w:tc>
        <w:tc>
          <w:tcPr>
            <w:tcW w:w="20" w:type="dxa"/>
            <w:vAlign w:val="bottom"/>
            <w:tcBorders>
              <w:top w:val="single" w:sz="8" w:color="0000EE"/>
            </w:tcBorders>
          </w:tcPr>
          <w:p>
            <w:pPr>
              <w:spacing w:after="0"/>
              <w:rPr>
                <w:sz w:val="15"/>
                <w:szCs w:val="15"/>
                <w:color w:val="auto"/>
              </w:rPr>
            </w:pPr>
          </w:p>
        </w:tc>
        <w:tc>
          <w:tcPr>
            <w:tcW w:w="8420" w:type="dxa"/>
            <w:vAlign w:val="bottom"/>
            <w:gridSpan w:val="21"/>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58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Mine Safety Disclosures</w:t>
            </w:r>
          </w:p>
        </w:tc>
        <w:tc>
          <w:tcPr>
            <w:tcW w:w="6880" w:type="dxa"/>
            <w:vAlign w:val="bottom"/>
            <w:gridSpan w:val="1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500" w:type="dxa"/>
            <w:vAlign w:val="bottom"/>
            <w:gridSpan w:val="18"/>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Exhibits</w:t>
            </w:r>
          </w:p>
        </w:tc>
        <w:tc>
          <w:tcPr>
            <w:tcW w:w="8040" w:type="dxa"/>
            <w:vAlign w:val="bottom"/>
            <w:gridSpan w:val="20"/>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We own or have rights to trademarks, service marks and trade names that we use in connection with the operation of our business, including our corporate name, logos and website names. The service marks and trademarks that we own include the marks Dyne Therapeutics</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FORCE™.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8"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This Quarterly Report on Form 10-Q, or this Quarterly Report, contains forward-looking statements within the meaning of the U.S. Private Securities Litigation Reform Act and Section 21E of the Securities Exchange Act of 1934, as amended, that involve substantial risk and uncertainties. All statements other than statements of historical fact, contained in this Quarterly Report,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“will,” “would,” or the negative of these words or other similar expressions are intended to identify forward-looking statements, although not all forward-looking statements contain these identifying words.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forward-looking statements in this Quarterly Report include, among other things, statements about:</w:t>
      </w:r>
    </w:p>
    <w:p>
      <w:pPr>
        <w:spacing w:after="0" w:line="10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design, progress and results of our research and development programs, preclinical studies and clinical trials;</w:t>
      </w:r>
    </w:p>
    <w:p>
      <w:pPr>
        <w:spacing w:after="0" w:line="116" w:lineRule="exact"/>
        <w:rPr>
          <w:rFonts w:ascii="Times New Roman" w:cs="Times New Roman" w:eastAsia="Times New Roman" w:hAnsi="Times New Roman"/>
          <w:sz w:val="18"/>
          <w:szCs w:val="18"/>
          <w:color w:val="auto"/>
        </w:rPr>
      </w:pPr>
    </w:p>
    <w:p>
      <w:pPr>
        <w:ind w:left="760" w:right="28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anticipated timing of the submission and clearance of investigational new drug applications, or INDs, and comparable foreign applications for any product candidates we may develop;</w:t>
      </w:r>
    </w:p>
    <w:p>
      <w:pPr>
        <w:spacing w:after="0" w:line="46"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submit applications for, obtain and maintain regulatory approvals for any product candidates we may develop;</w:t>
      </w:r>
    </w:p>
    <w:p>
      <w:pPr>
        <w:spacing w:after="0" w:line="46" w:lineRule="exact"/>
        <w:rPr>
          <w:rFonts w:ascii="Times New Roman" w:cs="Times New Roman" w:eastAsia="Times New Roman" w:hAnsi="Times New Roman"/>
          <w:sz w:val="18"/>
          <w:szCs w:val="18"/>
          <w:color w:val="auto"/>
        </w:rPr>
      </w:pPr>
    </w:p>
    <w:p>
      <w:pPr>
        <w:ind w:left="760" w:right="60" w:hanging="378"/>
        <w:spacing w:after="0" w:line="252"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need for additional financing and the period over which we believe our cash, cash equivalents and marketable securities will be sufficient to fund our operating expenses, debt service obligations and capital expenditure requirements;</w:t>
      </w:r>
    </w:p>
    <w:p>
      <w:pPr>
        <w:spacing w:after="0" w:line="62" w:lineRule="exact"/>
        <w:rPr>
          <w:rFonts w:ascii="Times New Roman" w:cs="Times New Roman" w:eastAsia="Times New Roman" w:hAnsi="Times New Roman"/>
          <w:sz w:val="18"/>
          <w:szCs w:val="18"/>
          <w:color w:val="auto"/>
        </w:rPr>
      </w:pPr>
    </w:p>
    <w:p>
      <w:pPr>
        <w:ind w:left="760" w:right="34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comply with restrictive covenants under our loan agreement, or the Loan Agreement, with Hercules Capital, Inc., or Hercules;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satisfy interest and principal payments under the Loan Agreement;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to develop and, if approved, subsequently commercialize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advantages of our FORCE platform;</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 and our expectations regarding our ability to obtain and maintain intellectual property protection;</w:t>
      </w:r>
    </w:p>
    <w:p>
      <w:pPr>
        <w:spacing w:after="0" w:line="11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116" w:lineRule="exact"/>
        <w:rPr>
          <w:rFonts w:ascii="Times New Roman" w:cs="Times New Roman" w:eastAsia="Times New Roman" w:hAnsi="Times New Roman"/>
          <w:sz w:val="18"/>
          <w:szCs w:val="18"/>
          <w:color w:val="auto"/>
        </w:rPr>
      </w:pPr>
    </w:p>
    <w:p>
      <w:pPr>
        <w:ind w:left="760" w:right="24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competitive position and expectations regarding developments and projections relating to our competitors and any competing therapies that are or become available; and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collaborations or obtain additional funding.</w:t>
      </w:r>
    </w:p>
    <w:p>
      <w:pPr>
        <w:spacing w:after="0" w:line="11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this Quarterly Report, particularly in Part II, Item 1A. “Risk Factors” in this Quarterly Report, that we believe could cause actual results or events to differ materially from the forward-looking statements that we make. Moreover, we operate in a competitive and rapidly changing environment. New risk factors and uncertainties may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may make. Our forward-looking statements do not reflect the potential impact of any future acquisitions, mergers, dispositions, collaborations, joint ventures or investments we may make or enter into.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line="247" w:lineRule="auto"/>
        <w:rPr>
          <w:sz w:val="20"/>
          <w:szCs w:val="20"/>
          <w:color w:val="auto"/>
        </w:rPr>
      </w:pPr>
      <w:r>
        <w:rPr>
          <w:rFonts w:ascii="Arial" w:cs="Arial" w:eastAsia="Arial" w:hAnsi="Arial"/>
          <w:sz w:val="18"/>
          <w:szCs w:val="18"/>
          <w:color w:val="auto"/>
        </w:rPr>
        <w:t>You should read this Quarterly Report and the documents that we have filed or incorporated by reference as exhibits to this Quarterly Report with the understanding that our actual future results may be materially different from what we expect. The forward-looking statements contained in this Quarterly Report are made as of the date of this Quarterly Report, and we do not assume any obligation to update any forward-looking statements, whether as a result of new information, future events or otherwise, except as required by applicable law.</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business is subject to a number of risks that, if realized, could materially affect our business, prospects, operating results and financial condition. These risks are discussed more fully in the “Risk Factors” section of this Quarterly Report. These risks include, but are not limited to, the following:</w:t>
      </w:r>
    </w:p>
    <w:p>
      <w:pPr>
        <w:spacing w:after="0" w:line="61" w:lineRule="exact"/>
        <w:rPr>
          <w:sz w:val="20"/>
          <w:szCs w:val="20"/>
          <w:color w:val="auto"/>
        </w:rPr>
      </w:pPr>
    </w:p>
    <w:p>
      <w:pPr>
        <w:ind w:left="760" w:right="22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need substantial additional funding. If we are unable to raise capital when needed, we could be forced to delay, reduce or eliminate our product development programs or commercialization efforts;</w:t>
      </w:r>
    </w:p>
    <w:p>
      <w:pPr>
        <w:spacing w:after="0" w:line="46"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are in varying stages of preclinical and clinical development, and we have not completed clinical development of any product candidate. We do not expect to have a product candidate ready for commercialization at least until 2027, if ever. If we are unable to advance product candidates through preclinical studies and clinical trials, obtain marketing approval and ultimately commercialize them, or experience significant delays in doing so, our business will be materially harmed;</w:t>
      </w:r>
    </w:p>
    <w:p>
      <w:pPr>
        <w:spacing w:after="0" w:line="50" w:lineRule="exact"/>
        <w:rPr>
          <w:rFonts w:ascii="Times New Roman" w:cs="Times New Roman" w:eastAsia="Times New Roman" w:hAnsi="Times New Roman"/>
          <w:sz w:val="17"/>
          <w:szCs w:val="17"/>
          <w:color w:val="auto"/>
        </w:rPr>
      </w:pPr>
    </w:p>
    <w:p>
      <w:pPr>
        <w:ind w:left="760" w:right="20" w:hanging="378"/>
        <w:spacing w:after="0" w:line="246"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encounter substantial delays in commencement, enrollment or completion of our clinical trials and the data from the clinical trials of our product candidates may fail to demonstrate sufficient safety and efficacy to warrant further development or satisfy the applicable regulatory authorities, which could prevent us from commercializing any product candidates we determine to develop on a timely basis, if at all;</w:t>
      </w:r>
    </w:p>
    <w:p>
      <w:pPr>
        <w:spacing w:after="0" w:line="68" w:lineRule="exact"/>
        <w:rPr>
          <w:rFonts w:ascii="Times New Roman" w:cs="Times New Roman" w:eastAsia="Times New Roman" w:hAnsi="Times New Roman"/>
          <w:sz w:val="18"/>
          <w:szCs w:val="18"/>
          <w:color w:val="auto"/>
        </w:rPr>
      </w:pPr>
    </w:p>
    <w:p>
      <w:pPr>
        <w:ind w:left="760" w:right="4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approach to the discovery and development of product candidates based on our FORCE platform is unproven, and we may not be successful in our efforts to develop our product candidates;</w:t>
      </w:r>
    </w:p>
    <w:p>
      <w:pPr>
        <w:spacing w:after="0" w:line="46" w:lineRule="exact"/>
        <w:rPr>
          <w:rFonts w:ascii="Times New Roman" w:cs="Times New Roman" w:eastAsia="Times New Roman" w:hAnsi="Times New Roman"/>
          <w:sz w:val="18"/>
          <w:szCs w:val="18"/>
          <w:color w:val="auto"/>
        </w:rPr>
      </w:pPr>
    </w:p>
    <w:p>
      <w:pPr>
        <w:ind w:left="760" w:right="20" w:hanging="378"/>
        <w:spacing w:after="0" w:line="300" w:lineRule="auto"/>
        <w:tabs>
          <w:tab w:leader="none" w:pos="76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of preclinical studies and initial data from earlier-stage clinical trials may not be predictive of final results of clinical trials or future clinical trials and data from trials in one indication may not be predictive of results of clinical trials in other indications;</w:t>
      </w:r>
    </w:p>
    <w:p>
      <w:pPr>
        <w:spacing w:after="0" w:line="23" w:lineRule="exact"/>
        <w:rPr>
          <w:rFonts w:ascii="Times New Roman" w:cs="Times New Roman" w:eastAsia="Times New Roman" w:hAnsi="Times New Roman"/>
          <w:sz w:val="17"/>
          <w:szCs w:val="17"/>
          <w:color w:val="auto"/>
        </w:rPr>
      </w:pPr>
    </w:p>
    <w:p>
      <w:pPr>
        <w:ind w:left="760" w:right="80" w:hanging="378"/>
        <w:spacing w:after="0" w:line="246"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 candidates cause undesirable side effects or have other unexpected adverse properties, such side effects or properties could delay or prevent us from conducting clinical trials or seeking or obtaining regulatory approval, limit the commercial potential of our product candidates or result in significant negative consequences to the extent such effects or adverse properties are observed following any marketing approval;</w:t>
      </w:r>
    </w:p>
    <w:p>
      <w:pPr>
        <w:spacing w:after="0" w:line="68" w:lineRule="exact"/>
        <w:rPr>
          <w:rFonts w:ascii="Times New Roman" w:cs="Times New Roman" w:eastAsia="Times New Roman" w:hAnsi="Times New Roman"/>
          <w:sz w:val="18"/>
          <w:szCs w:val="18"/>
          <w:color w:val="auto"/>
        </w:rPr>
      </w:pPr>
    </w:p>
    <w:p>
      <w:pPr>
        <w:ind w:left="76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Loan Agreement contains restrictive and financial covenants that may limit our operating flexibility and our failure to comply with the covenants or other terms of the Loan Agreement, including as a result of events beyond our control, could result in a default under the Loan Agreement that could materially and adversely affect our business;</w:t>
      </w:r>
    </w:p>
    <w:p>
      <w:pPr>
        <w:spacing w:after="0" w:line="62" w:lineRule="exact"/>
        <w:rPr>
          <w:rFonts w:ascii="Times New Roman" w:cs="Times New Roman" w:eastAsia="Times New Roman" w:hAnsi="Times New Roman"/>
          <w:sz w:val="18"/>
          <w:szCs w:val="18"/>
          <w:color w:val="auto"/>
        </w:rPr>
      </w:pPr>
    </w:p>
    <w:p>
      <w:pPr>
        <w:ind w:left="760" w:right="46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rely, and expect to continue to rely, on third parties to conduct some or all aspects of our product manufacturing, research, preclinical and clinical testing, and these third parties may not perform satisfactorily;</w:t>
      </w:r>
    </w:p>
    <w:p>
      <w:pPr>
        <w:spacing w:after="0" w:line="46"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face substantial competition, which may result in others discovering, developing or commercializing products before us or more successfully than we do;</w:t>
      </w:r>
    </w:p>
    <w:p>
      <w:pPr>
        <w:spacing w:after="0" w:line="46" w:lineRule="exact"/>
        <w:rPr>
          <w:rFonts w:ascii="Times New Roman" w:cs="Times New Roman" w:eastAsia="Times New Roman" w:hAnsi="Times New Roman"/>
          <w:sz w:val="18"/>
          <w:szCs w:val="18"/>
          <w:color w:val="auto"/>
        </w:rPr>
      </w:pPr>
    </w:p>
    <w:p>
      <w:pPr>
        <w:ind w:left="760" w:right="40" w:hanging="378"/>
        <w:spacing w:after="0" w:line="246"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rights to develop and commercialize certain of our product candidates are subject or may in the future be subject, in part, to the terms and conditions of licenses granted to us by third parties. If we fail to comply with our obligations under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68"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our product candidates or our technology may be adversely affected due to such competition; and</w:t>
      </w:r>
    </w:p>
    <w:p>
      <w:pPr>
        <w:spacing w:after="0" w:line="50" w:lineRule="exact"/>
        <w:rPr>
          <w:rFonts w:ascii="Times New Roman" w:cs="Times New Roman" w:eastAsia="Times New Roman" w:hAnsi="Times New Roman"/>
          <w:sz w:val="17"/>
          <w:szCs w:val="17"/>
          <w:color w:val="auto"/>
        </w:rPr>
      </w:pPr>
    </w:p>
    <w:p>
      <w:pPr>
        <w:ind w:left="760" w:right="340" w:hanging="378"/>
        <w:spacing w:after="0" w:line="300" w:lineRule="auto"/>
        <w:tabs>
          <w:tab w:leader="none" w:pos="76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even if any product candidate that we may develop receives marketing approval, it may fail to achieve the degree of market acceptance by physicians, patients, third-party payers and others in the medical community necessary for commercial success.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Dyne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0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1071"/>
              <w:spacing w:after="0" w:line="155" w:lineRule="exact"/>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1071"/>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913,203</w:t>
            </w:r>
          </w:p>
        </w:tc>
        <w:tc>
          <w:tcPr>
            <w:tcW w:w="60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893,369</w:t>
            </w:r>
          </w:p>
        </w:tc>
      </w:tr>
      <w:tr>
        <w:trPr>
          <w:trHeight w:val="203"/>
        </w:trPr>
        <w:tc>
          <w:tcPr>
            <w:tcW w:w="6020" w:type="dxa"/>
            <w:vAlign w:val="bottom"/>
          </w:tcPr>
          <w:p>
            <w:pPr>
              <w:ind w:left="160"/>
              <w:spacing w:after="0" w:line="202" w:lineRule="exact"/>
              <w:rPr>
                <w:sz w:val="20"/>
                <w:szCs w:val="20"/>
                <w:color w:val="auto"/>
              </w:rPr>
            </w:pPr>
            <w:r>
              <w:rPr>
                <w:rFonts w:ascii="Arial" w:cs="Arial" w:eastAsia="Arial" w:hAnsi="Arial"/>
                <w:sz w:val="18"/>
                <w:szCs w:val="18"/>
                <w:color w:val="auto"/>
              </w:rPr>
              <w:t>Marketable securities</w:t>
            </w: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221,183</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217,193</w:t>
            </w:r>
          </w:p>
        </w:tc>
      </w:tr>
      <w:tr>
        <w:trPr>
          <w:trHeight w:val="203"/>
        </w:trPr>
        <w:tc>
          <w:tcPr>
            <w:tcW w:w="60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41,643</w:t>
            </w: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16,025</w:t>
            </w:r>
          </w:p>
        </w:tc>
      </w:tr>
      <w:tr>
        <w:trPr>
          <w:trHeight w:val="196"/>
        </w:trPr>
        <w:tc>
          <w:tcPr>
            <w:tcW w:w="6020" w:type="dxa"/>
            <w:vAlign w:val="bottom"/>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7"/>
                <w:szCs w:val="17"/>
                <w:color w:val="auto"/>
              </w:rPr>
            </w:pPr>
          </w:p>
        </w:tc>
        <w:tc>
          <w:tcPr>
            <w:tcW w:w="21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1,176,029</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1,126,587</w:t>
            </w:r>
          </w:p>
        </w:tc>
      </w:tr>
      <w:tr>
        <w:trPr>
          <w:trHeight w:val="203"/>
        </w:trPr>
        <w:tc>
          <w:tcPr>
            <w:tcW w:w="6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7,141</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24,029</w:t>
            </w: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19,028</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20,742</w:t>
            </w:r>
          </w:p>
        </w:tc>
      </w:tr>
      <w:tr>
        <w:trPr>
          <w:trHeight w:val="203"/>
        </w:trPr>
        <w:tc>
          <w:tcPr>
            <w:tcW w:w="6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Restricted cash and other assets</w:t>
            </w:r>
          </w:p>
        </w:tc>
        <w:tc>
          <w:tcPr>
            <w:tcW w:w="42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32,604</w:t>
            </w: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15,600</w:t>
            </w:r>
          </w:p>
        </w:tc>
      </w:tr>
      <w:tr>
        <w:trPr>
          <w:trHeight w:val="196"/>
        </w:trPr>
        <w:tc>
          <w:tcPr>
            <w:tcW w:w="6020" w:type="dxa"/>
            <w:vAlign w:val="bottom"/>
          </w:tcPr>
          <w:p>
            <w:pPr>
              <w:ind w:left="300"/>
              <w:spacing w:after="0" w:line="196" w:lineRule="exact"/>
              <w:rPr>
                <w:sz w:val="20"/>
                <w:szCs w:val="20"/>
                <w:color w:val="auto"/>
              </w:rPr>
            </w:pPr>
            <w:r>
              <w:rPr>
                <w:rFonts w:ascii="Arial" w:cs="Arial" w:eastAsia="Arial" w:hAnsi="Arial"/>
                <w:sz w:val="18"/>
                <w:szCs w:val="18"/>
                <w:color w:val="auto"/>
              </w:rPr>
              <w:t>Total assets</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21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1,234,802</w:t>
            </w:r>
          </w:p>
        </w:tc>
        <w:tc>
          <w:tcPr>
            <w:tcW w:w="60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21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1,186,958</w:t>
            </w: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top w:val="single" w:sz="8" w:color="auto"/>
            </w:tcBorders>
            <w:shd w:val="clear" w:color="auto" w:fill="CFF0FC"/>
          </w:tcPr>
          <w:p>
            <w:pPr>
              <w:spacing w:after="0"/>
              <w:rPr>
                <w:sz w:val="17"/>
                <w:szCs w:val="17"/>
                <w:color w:val="auto"/>
              </w:rPr>
            </w:pPr>
          </w:p>
        </w:tc>
        <w:tc>
          <w:tcPr>
            <w:tcW w:w="21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100" w:type="dxa"/>
            <w:vAlign w:val="bottom"/>
            <w:tcBorders>
              <w:top w:val="single" w:sz="8" w:color="auto"/>
            </w:tcBorders>
            <w:shd w:val="clear" w:color="auto" w:fill="CFF0FC"/>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14,896</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8,082</w:t>
            </w:r>
          </w:p>
        </w:tc>
      </w:tr>
      <w:tr>
        <w:trPr>
          <w:trHeight w:val="203"/>
        </w:trPr>
        <w:tc>
          <w:tcPr>
            <w:tcW w:w="6020" w:type="dxa"/>
            <w:vAlign w:val="bottom"/>
          </w:tcPr>
          <w:p>
            <w:pPr>
              <w:ind w:left="1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44,691</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37,548</w:t>
            </w: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Vendor financing arrangement</w:t>
            </w: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25,402</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6020" w:type="dxa"/>
            <w:vAlign w:val="bottom"/>
          </w:tcPr>
          <w:p>
            <w:pPr>
              <w:ind w:left="160"/>
              <w:spacing w:after="0" w:line="202" w:lineRule="exact"/>
              <w:rPr>
                <w:sz w:val="20"/>
                <w:szCs w:val="20"/>
                <w:color w:val="auto"/>
              </w:rPr>
            </w:pPr>
            <w:r>
              <w:rPr>
                <w:rFonts w:ascii="Arial" w:cs="Arial" w:eastAsia="Arial" w:hAnsi="Arial"/>
                <w:sz w:val="18"/>
                <w:szCs w:val="18"/>
                <w:color w:val="auto"/>
              </w:rPr>
              <w:t>Lease liabilities</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5,556</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4,995</w:t>
            </w:r>
          </w:p>
        </w:tc>
      </w:tr>
      <w:tr>
        <w:trPr>
          <w:trHeight w:val="196"/>
        </w:trPr>
        <w:tc>
          <w:tcPr>
            <w:tcW w:w="602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90,545</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50,625</w:t>
            </w:r>
          </w:p>
        </w:tc>
      </w:tr>
      <w:tr>
        <w:trPr>
          <w:trHeight w:val="203"/>
        </w:trPr>
        <w:tc>
          <w:tcPr>
            <w:tcW w:w="6020" w:type="dxa"/>
            <w:vAlign w:val="bottom"/>
          </w:tcPr>
          <w:p>
            <w:pPr>
              <w:ind w:left="160"/>
              <w:spacing w:after="0" w:line="202" w:lineRule="exact"/>
              <w:rPr>
                <w:sz w:val="20"/>
                <w:szCs w:val="20"/>
                <w:color w:val="auto"/>
              </w:rPr>
            </w:pPr>
            <w:r>
              <w:rPr>
                <w:rFonts w:ascii="Arial" w:cs="Arial" w:eastAsia="Arial" w:hAnsi="Arial"/>
                <w:sz w:val="18"/>
                <w:szCs w:val="18"/>
                <w:color w:val="auto"/>
              </w:rPr>
              <w:t>Long-term debt, net</w:t>
            </w: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200,012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148,921</w:t>
            </w:r>
          </w:p>
        </w:tc>
      </w:tr>
      <w:tr>
        <w:trPr>
          <w:trHeight w:val="203"/>
        </w:trPr>
        <w:tc>
          <w:tcPr>
            <w:tcW w:w="60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Lease liabilities, net of current portion</w:t>
            </w:r>
          </w:p>
        </w:tc>
        <w:tc>
          <w:tcPr>
            <w:tcW w:w="42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13,312</w:t>
            </w: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15,283</w:t>
            </w:r>
          </w:p>
        </w:tc>
      </w:tr>
      <w:tr>
        <w:trPr>
          <w:trHeight w:val="196"/>
        </w:trPr>
        <w:tc>
          <w:tcPr>
            <w:tcW w:w="602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303,869</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214,829</w:t>
            </w: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Stockholders’ equity</w:t>
            </w: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r>
      <w:tr>
        <w:trPr>
          <w:trHeight w:val="184"/>
        </w:trPr>
        <w:tc>
          <w:tcPr>
            <w:tcW w:w="6020" w:type="dxa"/>
            <w:vAlign w:val="bottom"/>
          </w:tcPr>
          <w:p>
            <w:pPr>
              <w:ind w:left="160"/>
              <w:spacing w:after="0" w:line="183" w:lineRule="exact"/>
              <w:rPr>
                <w:sz w:val="20"/>
                <w:szCs w:val="20"/>
                <w:color w:val="auto"/>
              </w:rPr>
            </w:pPr>
            <w:r>
              <w:rPr>
                <w:rFonts w:ascii="Arial" w:cs="Arial" w:eastAsia="Arial" w:hAnsi="Arial"/>
                <w:sz w:val="18"/>
                <w:szCs w:val="18"/>
                <w:color w:val="auto"/>
              </w:rPr>
              <w:t>Preferred stock, $0.0001 par value; 10,000,000 shares authorized at</w:t>
            </w:r>
          </w:p>
        </w:tc>
        <w:tc>
          <w:tcPr>
            <w:tcW w:w="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221"/>
        </w:trPr>
        <w:tc>
          <w:tcPr>
            <w:tcW w:w="6020" w:type="dxa"/>
            <w:vAlign w:val="bottom"/>
          </w:tcPr>
          <w:p>
            <w:pPr>
              <w:ind w:left="160"/>
              <w:spacing w:after="0"/>
              <w:rPr>
                <w:sz w:val="20"/>
                <w:szCs w:val="20"/>
                <w:color w:val="auto"/>
              </w:rPr>
            </w:pPr>
            <w:r>
              <w:rPr>
                <w:rFonts w:ascii="Arial" w:cs="Arial" w:eastAsia="Arial" w:hAnsi="Arial"/>
                <w:sz w:val="18"/>
                <w:szCs w:val="18"/>
                <w:color w:val="auto"/>
              </w:rPr>
              <w:t>September 30, 2026 and December 31, 2025</w:t>
            </w:r>
          </w:p>
        </w:tc>
        <w:tc>
          <w:tcPr>
            <w:tcW w:w="420" w:type="dxa"/>
            <w:vAlign w:val="bottom"/>
          </w:tcPr>
          <w:p>
            <w:pPr>
              <w:spacing w:after="0"/>
              <w:rPr>
                <w:sz w:val="19"/>
                <w:szCs w:val="19"/>
                <w:color w:val="auto"/>
              </w:rPr>
            </w:pPr>
          </w:p>
        </w:tc>
        <w:tc>
          <w:tcPr>
            <w:tcW w:w="2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184"/>
        </w:trPr>
        <w:tc>
          <w:tcPr>
            <w:tcW w:w="602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Common stock, $0.0001 par value; 400,000,000 and</w:t>
            </w:r>
          </w:p>
        </w:tc>
        <w:tc>
          <w:tcPr>
            <w:tcW w:w="42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200,000,000 shares authorized at September 30, 2026 and December</w:t>
            </w: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31, 2025, respectively; 187,328,238 and 164,950,540 shares issued</w:t>
            </w: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and outstanding at September 30, 2026 and December 31, 2025,</w:t>
            </w: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r>
      <w:tr>
        <w:trPr>
          <w:trHeight w:val="221"/>
        </w:trPr>
        <w:tc>
          <w:tcPr>
            <w:tcW w:w="6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respectively</w:t>
            </w:r>
          </w:p>
        </w:tc>
        <w:tc>
          <w:tcPr>
            <w:tcW w:w="420" w:type="dxa"/>
            <w:vAlign w:val="bottom"/>
            <w:shd w:val="clear" w:color="auto" w:fill="CFF0FC"/>
          </w:tcPr>
          <w:p>
            <w:pPr>
              <w:spacing w:after="0"/>
              <w:rPr>
                <w:sz w:val="19"/>
                <w:szCs w:val="19"/>
                <w:color w:val="auto"/>
              </w:rPr>
            </w:pPr>
          </w:p>
        </w:tc>
        <w:tc>
          <w:tcPr>
            <w:tcW w:w="2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w:t>
            </w:r>
          </w:p>
        </w:tc>
      </w:tr>
      <w:tr>
        <w:trPr>
          <w:trHeight w:val="203"/>
        </w:trPr>
        <w:tc>
          <w:tcPr>
            <w:tcW w:w="6020" w:type="dxa"/>
            <w:vAlign w:val="bottom"/>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2,821,022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2,367,780</w:t>
            </w:r>
          </w:p>
        </w:tc>
      </w:tr>
      <w:tr>
        <w:trPr>
          <w:trHeight w:val="203"/>
        </w:trPr>
        <w:tc>
          <w:tcPr>
            <w:tcW w:w="60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Accumulated other comprehensive (loss) gain</w:t>
            </w: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475</w:t>
            </w:r>
          </w:p>
        </w:tc>
      </w:tr>
      <w:tr>
        <w:trPr>
          <w:trHeight w:val="203"/>
        </w:trPr>
        <w:tc>
          <w:tcPr>
            <w:tcW w:w="6020" w:type="dxa"/>
            <w:vAlign w:val="bottom"/>
          </w:tcPr>
          <w:p>
            <w:pPr>
              <w:ind w:left="160"/>
              <w:spacing w:after="0" w:line="202" w:lineRule="exact"/>
              <w:rPr>
                <w:sz w:val="20"/>
                <w:szCs w:val="20"/>
                <w:color w:val="auto"/>
              </w:rPr>
            </w:pPr>
            <w:r>
              <w:rPr>
                <w:rFonts w:ascii="Arial" w:cs="Arial" w:eastAsia="Arial" w:hAnsi="Arial"/>
                <w:sz w:val="18"/>
                <w:szCs w:val="18"/>
                <w:color w:val="auto"/>
              </w:rPr>
              <w:t>Accumulated deficit</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(1,889,104)</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(1,396,142)</w:t>
            </w:r>
          </w:p>
        </w:tc>
      </w:tr>
      <w:tr>
        <w:trPr>
          <w:trHeight w:val="196"/>
        </w:trPr>
        <w:tc>
          <w:tcPr>
            <w:tcW w:w="602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930,933</w:t>
            </w: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972,129</w:t>
            </w:r>
          </w:p>
        </w:tc>
      </w:tr>
      <w:tr>
        <w:trPr>
          <w:trHeight w:val="196"/>
        </w:trPr>
        <w:tc>
          <w:tcPr>
            <w:tcW w:w="6020" w:type="dxa"/>
            <w:vAlign w:val="bottom"/>
            <w:tcBorders>
              <w:bottom w:val="single" w:sz="8" w:color="auto"/>
            </w:tcBorders>
          </w:tcPr>
          <w:p>
            <w:pPr>
              <w:ind w:left="3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1,234,802</w:t>
            </w:r>
          </w:p>
        </w:tc>
        <w:tc>
          <w:tcPr>
            <w:tcW w:w="600" w:type="dxa"/>
            <w:vAlign w:val="bottom"/>
            <w:tcBorders>
              <w:bottom w:val="single" w:sz="8" w:color="auto"/>
            </w:tcBorders>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1,186,958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-3676650</wp:posOffset>
            </wp:positionV>
            <wp:extent cx="120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-3154045</wp:posOffset>
            </wp:positionV>
            <wp:extent cx="120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-1842135</wp:posOffset>
            </wp:positionV>
            <wp:extent cx="120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-144780</wp:posOffset>
            </wp:positionV>
            <wp:extent cx="120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Dyne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 and Comprehensive Loss (Unaudited)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240"/>
          </w:cols>
          <w:pgMar w:left="320" w:top="985" w:right="339" w:bottom="1440" w:gutter="0" w:footer="0" w:header="0"/>
        </w:sectPr>
      </w:pPr>
    </w:p>
    <w:p>
      <w:pPr>
        <w:spacing w:after="0" w:line="230"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6350</wp:posOffset>
            </wp:positionV>
            <wp:extent cx="1954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 w:lineRule="exact"/>
        <w:rPr>
          <w:sz w:val="20"/>
          <w:szCs w:val="20"/>
          <w:color w:val="auto"/>
        </w:rPr>
      </w:pPr>
    </w:p>
    <w:p>
      <w:pPr>
        <w:ind w:left="5520"/>
        <w:spacing w:after="0"/>
        <w:tabs>
          <w:tab w:leader="none" w:pos="712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6350</wp:posOffset>
            </wp:positionV>
            <wp:extent cx="19202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 w:lineRule="exact"/>
        <w:rPr>
          <w:sz w:val="20"/>
          <w:szCs w:val="20"/>
          <w:color w:val="auto"/>
        </w:rPr>
      </w:pPr>
    </w:p>
    <w:p>
      <w:pPr>
        <w:ind w:left="240"/>
        <w:spacing w:after="0"/>
        <w:tabs>
          <w:tab w:leader="none" w:pos="180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1" w:lineRule="exact"/>
        <w:rPr>
          <w:sz w:val="20"/>
          <w:szCs w:val="20"/>
          <w:color w:val="auto"/>
        </w:rPr>
      </w:pPr>
    </w:p>
    <w:p>
      <w:pPr>
        <w:sectPr>
          <w:pgSz w:w="11900" w:h="16838" w:orient="portrait"/>
          <w:cols w:equalWidth="0" w:num="2">
            <w:col w:w="7760" w:space="720"/>
            <w:col w:w="276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00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161,744</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97,219</w:t>
            </w: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414,918</w:t>
            </w: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302,902</w:t>
            </w:r>
          </w:p>
        </w:tc>
        <w:tc>
          <w:tcPr>
            <w:tcW w:w="0" w:type="dxa"/>
            <w:vAlign w:val="bottom"/>
          </w:tcPr>
          <w:p>
            <w:pPr>
              <w:spacing w:after="0"/>
              <w:rPr>
                <w:sz w:val="1"/>
                <w:szCs w:val="1"/>
                <w:color w:val="auto"/>
              </w:rPr>
            </w:pPr>
          </w:p>
        </w:tc>
      </w:tr>
      <w:tr>
        <w:trPr>
          <w:trHeight w:val="203"/>
        </w:trPr>
        <w:tc>
          <w:tcPr>
            <w:tcW w:w="50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35,330</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16,673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89,093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49,153</w:t>
            </w:r>
          </w:p>
        </w:tc>
        <w:tc>
          <w:tcPr>
            <w:tcW w:w="0" w:type="dxa"/>
            <w:vAlign w:val="bottom"/>
          </w:tcPr>
          <w:p>
            <w:pPr>
              <w:spacing w:after="0"/>
              <w:rPr>
                <w:sz w:val="1"/>
                <w:szCs w:val="1"/>
                <w:color w:val="auto"/>
              </w:rPr>
            </w:pPr>
          </w:p>
        </w:tc>
      </w:tr>
      <w:tr>
        <w:trPr>
          <w:trHeight w:val="196"/>
        </w:trPr>
        <w:tc>
          <w:tcPr>
            <w:tcW w:w="500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197,074</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113,892</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504,011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352,055</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(197,074)</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(113,892)</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(504,011)</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(352,055)</w:t>
            </w:r>
          </w:p>
        </w:tc>
        <w:tc>
          <w:tcPr>
            <w:tcW w:w="0" w:type="dxa"/>
            <w:vAlign w:val="bottom"/>
          </w:tcPr>
          <w:p>
            <w:pPr>
              <w:spacing w:after="0"/>
              <w:rPr>
                <w:sz w:val="1"/>
                <w:szCs w:val="1"/>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9,767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8,476</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26,312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22,202</w:t>
            </w:r>
          </w:p>
        </w:tc>
        <w:tc>
          <w:tcPr>
            <w:tcW w:w="0" w:type="dxa"/>
            <w:vAlign w:val="bottom"/>
          </w:tcPr>
          <w:p>
            <w:pPr>
              <w:spacing w:after="0"/>
              <w:rPr>
                <w:sz w:val="1"/>
                <w:szCs w:val="1"/>
                <w:color w:val="auto"/>
              </w:rPr>
            </w:pPr>
          </w:p>
        </w:tc>
      </w:tr>
      <w:tr>
        <w:trPr>
          <w:trHeight w:val="203"/>
        </w:trPr>
        <w:tc>
          <w:tcPr>
            <w:tcW w:w="500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(5,949)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(2,904)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(14,746)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03"/>
        </w:trPr>
        <w:tc>
          <w:tcPr>
            <w:tcW w:w="50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(296)</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279</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(517)</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196"/>
        </w:trPr>
        <w:tc>
          <w:tcPr>
            <w:tcW w:w="5000" w:type="dxa"/>
            <w:vAlign w:val="bottom"/>
          </w:tcPr>
          <w:p>
            <w:pPr>
              <w:ind w:left="260"/>
              <w:spacing w:after="0" w:line="196" w:lineRule="exact"/>
              <w:rPr>
                <w:sz w:val="20"/>
                <w:szCs w:val="20"/>
                <w:color w:val="auto"/>
              </w:rPr>
            </w:pPr>
            <w:r>
              <w:rPr>
                <w:rFonts w:ascii="Arial" w:cs="Arial" w:eastAsia="Arial" w:hAnsi="Arial"/>
                <w:sz w:val="18"/>
                <w:szCs w:val="18"/>
                <w:color w:val="auto"/>
              </w:rPr>
              <w:t>Total other income, net</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3,522</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5,851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11,049</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17,796</w:t>
            </w:r>
          </w:p>
        </w:tc>
        <w:tc>
          <w:tcPr>
            <w:tcW w:w="0" w:type="dxa"/>
            <w:vAlign w:val="bottom"/>
          </w:tcPr>
          <w:p>
            <w:pPr>
              <w:spacing w:after="0"/>
              <w:rPr>
                <w:sz w:val="1"/>
                <w:szCs w:val="1"/>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(193,552)</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(108,041)</w:t>
            </w:r>
          </w:p>
        </w:tc>
        <w:tc>
          <w:tcPr>
            <w:tcW w:w="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(492,962)</w:t>
            </w:r>
          </w:p>
        </w:tc>
        <w:tc>
          <w:tcPr>
            <w:tcW w:w="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(334,259)</w:t>
            </w: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(0.76)</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(2.89)</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77"/>
        </w:trPr>
        <w:tc>
          <w:tcPr>
            <w:tcW w:w="500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Weighted average common shares outstanding, basic and</w:t>
            </w:r>
          </w:p>
        </w:tc>
        <w:tc>
          <w:tcPr>
            <w:tcW w:w="22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181,765,918</w:t>
            </w:r>
          </w:p>
        </w:tc>
        <w:tc>
          <w:tcPr>
            <w:tcW w:w="16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4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141,810,881</w:t>
            </w:r>
          </w:p>
        </w:tc>
        <w:tc>
          <w:tcPr>
            <w:tcW w:w="1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4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170,809,706</w:t>
            </w:r>
          </w:p>
        </w:tc>
        <w:tc>
          <w:tcPr>
            <w:tcW w:w="1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4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121,980,400</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(193,552)</w:t>
            </w:r>
          </w:p>
        </w:tc>
        <w:tc>
          <w:tcPr>
            <w:tcW w:w="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(108,041)</w:t>
            </w:r>
          </w:p>
        </w:tc>
        <w:tc>
          <w:tcPr>
            <w:tcW w:w="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(492,962)</w:t>
            </w:r>
          </w:p>
        </w:tc>
        <w:tc>
          <w:tcPr>
            <w:tcW w:w="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(334,259)</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Unrealized gains (losses) on marketable securities, net</w:t>
            </w:r>
          </w:p>
        </w:tc>
        <w:tc>
          <w:tcPr>
            <w:tcW w:w="2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(650)</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244</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(1,478)</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Comprehensive loss</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(194,202)</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(107,797)</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(494,440)</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(333,769)</w:t>
            </w:r>
          </w:p>
        </w:tc>
        <w:tc>
          <w:tcPr>
            <w:tcW w:w="0" w:type="dxa"/>
            <w:vAlign w:val="bottom"/>
          </w:tcPr>
          <w:p>
            <w:pPr>
              <w:spacing w:after="0"/>
              <w:rPr>
                <w:sz w:val="1"/>
                <w:szCs w:val="1"/>
                <w:color w:val="auto"/>
              </w:rPr>
            </w:pPr>
          </w:p>
        </w:tc>
      </w:tr>
      <w:tr>
        <w:trPr>
          <w:trHeight w:val="20"/>
        </w:trPr>
        <w:tc>
          <w:tcPr>
            <w:tcW w:w="5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-2133600</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-2133600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-2133600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-1859280</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-1859280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-1859280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-1336675</wp:posOffset>
            </wp:positionV>
            <wp:extent cx="93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-1336675</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-1336675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-1062355</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-1062355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-1062355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-668020</wp:posOffset>
            </wp:positionV>
            <wp:extent cx="939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-668020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-668020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-144780</wp:posOffset>
            </wp:positionV>
            <wp:extent cx="93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-144780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-144780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Dyne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jc w:val="center"/>
        <w:spacing w:after="0"/>
        <w:rPr>
          <w:sz w:val="20"/>
          <w:szCs w:val="20"/>
          <w:color w:val="auto"/>
        </w:rPr>
      </w:pPr>
      <w:r>
        <w:rPr>
          <w:rFonts w:ascii="Arial" w:cs="Arial" w:eastAsia="Arial" w:hAnsi="Arial"/>
          <w:sz w:val="18"/>
          <w:szCs w:val="18"/>
          <w:b w:val="1"/>
          <w:bCs w:val="1"/>
          <w:color w:val="auto"/>
        </w:rPr>
        <w:t>(in thousands, except share data and issuance costs)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tcPr>
          <w:p>
            <w:pPr>
              <w:spacing w:after="0"/>
              <w:rPr>
                <w:sz w:val="12"/>
                <w:szCs w:val="12"/>
                <w:color w:val="auto"/>
              </w:rPr>
            </w:pPr>
          </w:p>
        </w:tc>
        <w:tc>
          <w:tcPr>
            <w:tcW w:w="1900" w:type="dxa"/>
            <w:vAlign w:val="bottom"/>
            <w:gridSpan w:val="3"/>
            <w:vMerge w:val="restart"/>
          </w:tcPr>
          <w:p>
            <w:pPr>
              <w:jc w:val="right"/>
              <w:ind w:right="382"/>
              <w:spacing w:after="0"/>
              <w:rPr>
                <w:sz w:val="20"/>
                <w:szCs w:val="20"/>
                <w:color w:val="auto"/>
              </w:rPr>
            </w:pPr>
            <w:r>
              <w:rPr>
                <w:rFonts w:ascii="Arial" w:cs="Arial" w:eastAsia="Arial" w:hAnsi="Arial"/>
                <w:sz w:val="12"/>
                <w:szCs w:val="12"/>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202"/>
              <w:spacing w:after="0"/>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242"/>
              <w:spacing w:after="0"/>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90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202"/>
              <w:spacing w:after="0" w:line="132" w:lineRule="exact"/>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242"/>
              <w:spacing w:after="0" w:line="132"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22"/>
              <w:spacing w:after="0" w:line="132" w:lineRule="exact"/>
              <w:rPr>
                <w:sz w:val="20"/>
                <w:szCs w:val="20"/>
                <w:color w:val="auto"/>
              </w:rPr>
            </w:pPr>
            <w:r>
              <w:rPr>
                <w:rFonts w:ascii="Arial" w:cs="Arial" w:eastAsia="Arial" w:hAnsi="Arial"/>
                <w:sz w:val="12"/>
                <w:szCs w:val="12"/>
                <w:b w:val="1"/>
                <w:bCs w:val="1"/>
                <w:color w:val="auto"/>
                <w:w w:val="98"/>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42"/>
              <w:spacing w:after="0" w:line="132" w:lineRule="exact"/>
              <w:rPr>
                <w:sz w:val="20"/>
                <w:szCs w:val="20"/>
                <w:color w:val="auto"/>
              </w:rPr>
            </w:pPr>
            <w:r>
              <w:rPr>
                <w:rFonts w:ascii="Arial" w:cs="Arial" w:eastAsia="Arial" w:hAnsi="Arial"/>
                <w:sz w:val="12"/>
                <w:szCs w:val="12"/>
                <w:b w:val="1"/>
                <w:bCs w:val="1"/>
                <w:color w:val="auto"/>
                <w:w w:val="98"/>
              </w:rPr>
              <w:t>Stockholders’</w:t>
            </w: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82"/>
              <w:spacing w:after="0" w:line="119" w:lineRule="exact"/>
              <w:rPr>
                <w:sz w:val="20"/>
                <w:szCs w:val="20"/>
                <w:color w:val="auto"/>
              </w:rPr>
            </w:pPr>
            <w:r>
              <w:rPr>
                <w:rFonts w:ascii="Arial" w:cs="Arial" w:eastAsia="Arial" w:hAnsi="Arial"/>
                <w:sz w:val="12"/>
                <w:szCs w:val="12"/>
                <w:b w:val="1"/>
                <w:bCs w:val="1"/>
                <w:color w:val="auto"/>
                <w:w w:val="98"/>
              </w:rPr>
              <w:t>Comprehensive Gain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Amount</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02"/>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42"/>
              <w:spacing w:after="0"/>
              <w:rPr>
                <w:sz w:val="20"/>
                <w:szCs w:val="20"/>
                <w:color w:val="auto"/>
              </w:rPr>
            </w:pPr>
            <w:r>
              <w:rPr>
                <w:rFonts w:ascii="Arial" w:cs="Arial" w:eastAsia="Arial" w:hAnsi="Arial"/>
                <w:sz w:val="12"/>
                <w:szCs w:val="12"/>
                <w:b w:val="1"/>
                <w:bCs w:val="1"/>
                <w:color w:val="auto"/>
                <w:w w:val="99"/>
              </w:rPr>
              <w:t>(Loss)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42"/>
              <w:spacing w:after="0"/>
              <w:rPr>
                <w:sz w:val="20"/>
                <w:szCs w:val="20"/>
                <w:color w:val="auto"/>
              </w:rPr>
            </w:pPr>
            <w:r>
              <w:rPr>
                <w:rFonts w:ascii="Arial" w:cs="Arial" w:eastAsia="Arial" w:hAnsi="Arial"/>
                <w:sz w:val="12"/>
                <w:szCs w:val="12"/>
                <w:b w:val="1"/>
                <w:bCs w:val="1"/>
                <w:color w:val="auto"/>
                <w:w w:val="98"/>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62"/>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28"/>
        </w:trPr>
        <w:tc>
          <w:tcPr>
            <w:tcW w:w="398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at January 1, 2026</w:t>
            </w:r>
          </w:p>
        </w:tc>
        <w:tc>
          <w:tcPr>
            <w:tcW w:w="10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164,950,540</w:t>
            </w:r>
          </w:p>
        </w:tc>
        <w:tc>
          <w:tcPr>
            <w:tcW w:w="840" w:type="dxa"/>
            <w:vAlign w:val="bottom"/>
            <w:gridSpan w:val="2"/>
            <w:shd w:val="clear" w:color="auto" w:fill="CFF0FC"/>
          </w:tcPr>
          <w:p>
            <w:pPr>
              <w:jc w:val="right"/>
              <w:ind w:right="602"/>
              <w:spacing w:after="0" w:line="129" w:lineRule="exact"/>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16</w:t>
            </w:r>
          </w:p>
        </w:tc>
        <w:tc>
          <w:tcPr>
            <w:tcW w:w="240" w:type="dxa"/>
            <w:vAlign w:val="bottom"/>
            <w:gridSpan w:val="2"/>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2,367,780</w:t>
            </w:r>
          </w:p>
        </w:tc>
        <w:tc>
          <w:tcPr>
            <w:tcW w:w="280" w:type="dxa"/>
            <w:vAlign w:val="bottom"/>
            <w:gridSpan w:val="2"/>
            <w:shd w:val="clear" w:color="auto" w:fill="CFF0FC"/>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475</w:t>
            </w:r>
          </w:p>
        </w:tc>
        <w:tc>
          <w:tcPr>
            <w:tcW w:w="1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rPr>
              <w:t>(1,396,142)</w:t>
            </w:r>
          </w:p>
        </w:tc>
        <w:tc>
          <w:tcPr>
            <w:tcW w:w="20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972,129</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Exercise of stock options</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88,932</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1,311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1,311</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Stock-based compensation</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13,081</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13,081</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Vesting of restricted stock units</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161,857</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Unrealized losses on marketable securities</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22"/>
              <w:spacing w:after="0" w:line="135" w:lineRule="exact"/>
              <w:rPr>
                <w:sz w:val="20"/>
                <w:szCs w:val="20"/>
                <w:color w:val="auto"/>
              </w:rPr>
            </w:pPr>
            <w:r>
              <w:rPr>
                <w:rFonts w:ascii="Arial" w:cs="Arial" w:eastAsia="Arial" w:hAnsi="Arial"/>
                <w:sz w:val="12"/>
                <w:szCs w:val="12"/>
                <w:color w:val="auto"/>
              </w:rPr>
              <w:t>(612)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2"/>
              <w:spacing w:after="0" w:line="135" w:lineRule="exact"/>
              <w:rPr>
                <w:sz w:val="20"/>
                <w:szCs w:val="20"/>
                <w:color w:val="auto"/>
              </w:rPr>
            </w:pPr>
            <w:r>
              <w:rPr>
                <w:rFonts w:ascii="Arial" w:cs="Arial" w:eastAsia="Arial" w:hAnsi="Arial"/>
                <w:sz w:val="12"/>
                <w:szCs w:val="12"/>
                <w:color w:val="auto"/>
              </w:rPr>
              <w:t>(612)</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Net loss</w:t>
            </w:r>
          </w:p>
        </w:tc>
        <w:tc>
          <w:tcPr>
            <w:tcW w:w="106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(120,854)</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(120,854)</w:t>
            </w:r>
          </w:p>
        </w:tc>
        <w:tc>
          <w:tcPr>
            <w:tcW w:w="0" w:type="dxa"/>
            <w:vAlign w:val="bottom"/>
          </w:tcPr>
          <w:p>
            <w:pPr>
              <w:spacing w:after="0"/>
              <w:rPr>
                <w:sz w:val="1"/>
                <w:szCs w:val="1"/>
                <w:color w:val="auto"/>
              </w:rPr>
            </w:pPr>
          </w:p>
        </w:tc>
      </w:tr>
      <w:tr>
        <w:trPr>
          <w:trHeight w:val="128"/>
        </w:trPr>
        <w:tc>
          <w:tcPr>
            <w:tcW w:w="398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at March 31, 2026</w:t>
            </w:r>
          </w:p>
        </w:tc>
        <w:tc>
          <w:tcPr>
            <w:tcW w:w="10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165,201,329</w:t>
            </w:r>
          </w:p>
        </w:tc>
        <w:tc>
          <w:tcPr>
            <w:tcW w:w="840" w:type="dxa"/>
            <w:vAlign w:val="bottom"/>
            <w:gridSpan w:val="2"/>
            <w:shd w:val="clear" w:color="auto" w:fill="CFF0FC"/>
          </w:tcPr>
          <w:p>
            <w:pPr>
              <w:jc w:val="right"/>
              <w:ind w:right="602"/>
              <w:spacing w:after="0" w:line="129" w:lineRule="exact"/>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16</w:t>
            </w:r>
          </w:p>
        </w:tc>
        <w:tc>
          <w:tcPr>
            <w:tcW w:w="240" w:type="dxa"/>
            <w:vAlign w:val="bottom"/>
            <w:gridSpan w:val="2"/>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2,382,172</w:t>
            </w:r>
          </w:p>
        </w:tc>
        <w:tc>
          <w:tcPr>
            <w:tcW w:w="280" w:type="dxa"/>
            <w:vAlign w:val="bottom"/>
            <w:gridSpan w:val="2"/>
            <w:shd w:val="clear" w:color="auto" w:fill="CFF0FC"/>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ind w:right="22"/>
              <w:spacing w:after="0" w:line="129" w:lineRule="exact"/>
              <w:rPr>
                <w:sz w:val="20"/>
                <w:szCs w:val="20"/>
                <w:color w:val="auto"/>
              </w:rPr>
            </w:pPr>
            <w:r>
              <w:rPr>
                <w:rFonts w:ascii="Arial" w:cs="Arial" w:eastAsia="Arial" w:hAnsi="Arial"/>
                <w:sz w:val="12"/>
                <w:szCs w:val="12"/>
                <w:color w:val="auto"/>
              </w:rPr>
              <w:t>(137)</w:t>
            </w:r>
          </w:p>
        </w:tc>
        <w:tc>
          <w:tcPr>
            <w:tcW w:w="1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rPr>
              <w:t>(1,516,996)</w:t>
            </w:r>
          </w:p>
        </w:tc>
        <w:tc>
          <w:tcPr>
            <w:tcW w:w="20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865,055</w:t>
            </w:r>
          </w:p>
        </w:tc>
        <w:tc>
          <w:tcPr>
            <w:tcW w:w="0" w:type="dxa"/>
            <w:vAlign w:val="bottom"/>
          </w:tcPr>
          <w:p>
            <w:pPr>
              <w:spacing w:after="0"/>
              <w:rPr>
                <w:sz w:val="1"/>
                <w:szCs w:val="1"/>
                <w:color w:val="auto"/>
              </w:rPr>
            </w:pPr>
          </w:p>
        </w:tc>
      </w:tr>
      <w:tr>
        <w:trPr>
          <w:trHeight w:val="129"/>
        </w:trPr>
        <w:tc>
          <w:tcPr>
            <w:tcW w:w="3980" w:type="dxa"/>
            <w:vAlign w:val="bottom"/>
            <w:tcBorders>
              <w:top w:val="single" w:sz="8" w:color="CFF0FC"/>
            </w:tcBorders>
          </w:tcPr>
          <w:p>
            <w:pPr>
              <w:spacing w:after="0" w:line="129" w:lineRule="exact"/>
              <w:rPr>
                <w:sz w:val="20"/>
                <w:szCs w:val="20"/>
                <w:color w:val="auto"/>
              </w:rPr>
            </w:pPr>
            <w:r>
              <w:rPr>
                <w:rFonts w:ascii="Arial" w:cs="Arial" w:eastAsia="Arial" w:hAnsi="Arial"/>
                <w:sz w:val="12"/>
                <w:szCs w:val="12"/>
                <w:color w:val="auto"/>
              </w:rPr>
              <w:t>Exercise of stock options</w:t>
            </w:r>
          </w:p>
        </w:tc>
        <w:tc>
          <w:tcPr>
            <w:tcW w:w="10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75,658</w:t>
            </w:r>
          </w:p>
        </w:tc>
        <w:tc>
          <w:tcPr>
            <w:tcW w:w="1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892</w:t>
            </w: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892</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Stock-based compensation</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14,976</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14,976</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Vesting of restricted stock units</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393,893</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Unrealized losses on marketable securities</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22"/>
              <w:spacing w:after="0" w:line="135" w:lineRule="exact"/>
              <w:rPr>
                <w:sz w:val="20"/>
                <w:szCs w:val="20"/>
                <w:color w:val="auto"/>
              </w:rPr>
            </w:pPr>
            <w:r>
              <w:rPr>
                <w:rFonts w:ascii="Arial" w:cs="Arial" w:eastAsia="Arial" w:hAnsi="Arial"/>
                <w:sz w:val="12"/>
                <w:szCs w:val="12"/>
                <w:color w:val="auto"/>
              </w:rPr>
              <w:t>(216)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2"/>
              <w:spacing w:after="0" w:line="135" w:lineRule="exact"/>
              <w:rPr>
                <w:sz w:val="20"/>
                <w:szCs w:val="20"/>
                <w:color w:val="auto"/>
              </w:rPr>
            </w:pPr>
            <w:r>
              <w:rPr>
                <w:rFonts w:ascii="Arial" w:cs="Arial" w:eastAsia="Arial" w:hAnsi="Arial"/>
                <w:sz w:val="12"/>
                <w:szCs w:val="12"/>
                <w:color w:val="auto"/>
              </w:rPr>
              <w:t>(216)</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Net loss</w:t>
            </w:r>
          </w:p>
        </w:tc>
        <w:tc>
          <w:tcPr>
            <w:tcW w:w="106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(178,556)</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(178,556)</w:t>
            </w:r>
          </w:p>
        </w:tc>
        <w:tc>
          <w:tcPr>
            <w:tcW w:w="0" w:type="dxa"/>
            <w:vAlign w:val="bottom"/>
          </w:tcPr>
          <w:p>
            <w:pPr>
              <w:spacing w:after="0"/>
              <w:rPr>
                <w:sz w:val="1"/>
                <w:szCs w:val="1"/>
                <w:color w:val="auto"/>
              </w:rPr>
            </w:pPr>
          </w:p>
        </w:tc>
      </w:tr>
      <w:tr>
        <w:trPr>
          <w:trHeight w:val="128"/>
        </w:trPr>
        <w:tc>
          <w:tcPr>
            <w:tcW w:w="398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at June 30, 2026</w:t>
            </w:r>
          </w:p>
        </w:tc>
        <w:tc>
          <w:tcPr>
            <w:tcW w:w="10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165,670,880</w:t>
            </w:r>
          </w:p>
        </w:tc>
        <w:tc>
          <w:tcPr>
            <w:tcW w:w="840" w:type="dxa"/>
            <w:vAlign w:val="bottom"/>
            <w:gridSpan w:val="2"/>
            <w:shd w:val="clear" w:color="auto" w:fill="CFF0FC"/>
          </w:tcPr>
          <w:p>
            <w:pPr>
              <w:jc w:val="right"/>
              <w:ind w:right="602"/>
              <w:spacing w:after="0" w:line="129" w:lineRule="exact"/>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16</w:t>
            </w:r>
          </w:p>
        </w:tc>
        <w:tc>
          <w:tcPr>
            <w:tcW w:w="240" w:type="dxa"/>
            <w:vAlign w:val="bottom"/>
            <w:gridSpan w:val="2"/>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2,398,040</w:t>
            </w:r>
          </w:p>
        </w:tc>
        <w:tc>
          <w:tcPr>
            <w:tcW w:w="280" w:type="dxa"/>
            <w:vAlign w:val="bottom"/>
            <w:gridSpan w:val="2"/>
            <w:shd w:val="clear" w:color="auto" w:fill="CFF0FC"/>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ind w:right="22"/>
              <w:spacing w:after="0" w:line="129" w:lineRule="exact"/>
              <w:rPr>
                <w:sz w:val="20"/>
                <w:szCs w:val="20"/>
                <w:color w:val="auto"/>
              </w:rPr>
            </w:pPr>
            <w:r>
              <w:rPr>
                <w:rFonts w:ascii="Arial" w:cs="Arial" w:eastAsia="Arial" w:hAnsi="Arial"/>
                <w:sz w:val="12"/>
                <w:szCs w:val="12"/>
                <w:color w:val="auto"/>
              </w:rPr>
              <w:t>(353)</w:t>
            </w:r>
          </w:p>
        </w:tc>
        <w:tc>
          <w:tcPr>
            <w:tcW w:w="1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rPr>
              <w:t>(1,695,552)</w:t>
            </w:r>
          </w:p>
        </w:tc>
        <w:tc>
          <w:tcPr>
            <w:tcW w:w="20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702,151</w:t>
            </w:r>
          </w:p>
        </w:tc>
        <w:tc>
          <w:tcPr>
            <w:tcW w:w="0" w:type="dxa"/>
            <w:vAlign w:val="bottom"/>
          </w:tcPr>
          <w:p>
            <w:pPr>
              <w:spacing w:after="0"/>
              <w:rPr>
                <w:sz w:val="1"/>
                <w:szCs w:val="1"/>
                <w:color w:val="auto"/>
              </w:rPr>
            </w:pPr>
          </w:p>
        </w:tc>
      </w:tr>
      <w:tr>
        <w:trPr>
          <w:trHeight w:val="121"/>
        </w:trPr>
        <w:tc>
          <w:tcPr>
            <w:tcW w:w="3980" w:type="dxa"/>
            <w:vAlign w:val="bottom"/>
            <w:tcBorders>
              <w:top w:val="single" w:sz="8" w:color="CFF0FC"/>
            </w:tcBorders>
          </w:tcPr>
          <w:p>
            <w:pPr>
              <w:spacing w:after="0" w:line="121" w:lineRule="exact"/>
              <w:rPr>
                <w:sz w:val="20"/>
                <w:szCs w:val="20"/>
                <w:color w:val="auto"/>
              </w:rPr>
            </w:pPr>
            <w:r>
              <w:rPr>
                <w:rFonts w:ascii="Arial" w:cs="Arial" w:eastAsia="Arial" w:hAnsi="Arial"/>
                <w:sz w:val="12"/>
                <w:szCs w:val="12"/>
                <w:color w:val="auto"/>
              </w:rPr>
              <w:t>Issuance of common stock in public offering, net of issuance costs of</w:t>
            </w: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980" w:type="dxa"/>
            <w:vAlign w:val="bottom"/>
          </w:tcPr>
          <w:p>
            <w:pPr>
              <w:spacing w:after="0"/>
              <w:rPr>
                <w:sz w:val="20"/>
                <w:szCs w:val="20"/>
                <w:color w:val="auto"/>
              </w:rPr>
            </w:pPr>
            <w:r>
              <w:rPr>
                <w:rFonts w:ascii="Arial" w:cs="Arial" w:eastAsia="Arial" w:hAnsi="Arial"/>
                <w:sz w:val="12"/>
                <w:szCs w:val="12"/>
                <w:color w:val="auto"/>
              </w:rPr>
              <w:t>$26.5 million</w:t>
            </w: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21,045,000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jc w:val="right"/>
              <w:ind w:right="62"/>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404,905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404,907</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Exercise of stock options</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243,900</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1,871</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1,871</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Stock-based compensation</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16,206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16,206</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Vesting of restricted stock units</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368,458</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Unrealized losses on marketable securities</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2"/>
              <w:spacing w:after="0" w:line="135" w:lineRule="exact"/>
              <w:rPr>
                <w:sz w:val="20"/>
                <w:szCs w:val="20"/>
                <w:color w:val="auto"/>
              </w:rPr>
            </w:pPr>
            <w:r>
              <w:rPr>
                <w:rFonts w:ascii="Arial" w:cs="Arial" w:eastAsia="Arial" w:hAnsi="Arial"/>
                <w:sz w:val="12"/>
                <w:szCs w:val="12"/>
                <w:color w:val="auto"/>
              </w:rPr>
              <w:t>(650)</w:t>
            </w:r>
          </w:p>
        </w:tc>
        <w:tc>
          <w:tcPr>
            <w:tcW w:w="0" w:type="dxa"/>
            <w:vAlign w:val="bottom"/>
          </w:tcPr>
          <w:p>
            <w:pPr>
              <w:spacing w:after="0"/>
              <w:rPr>
                <w:sz w:val="1"/>
                <w:szCs w:val="1"/>
                <w:color w:val="auto"/>
              </w:rPr>
            </w:pPr>
          </w:p>
        </w:tc>
      </w:tr>
      <w:tr>
        <w:trPr>
          <w:trHeight w:val="135"/>
        </w:trPr>
        <w:tc>
          <w:tcPr>
            <w:tcW w:w="3980" w:type="dxa"/>
            <w:vAlign w:val="bottom"/>
            <w:tcBorders>
              <w:bottom w:val="single" w:sz="8" w:color="CFF0FC"/>
            </w:tcBorders>
            <w:shd w:val="clear" w:color="auto" w:fill="CFF0FC"/>
          </w:tcPr>
          <w:p>
            <w:pPr>
              <w:spacing w:after="0" w:line="135" w:lineRule="exact"/>
              <w:rPr>
                <w:sz w:val="20"/>
                <w:szCs w:val="20"/>
                <w:color w:val="auto"/>
              </w:rPr>
            </w:pPr>
            <w:r>
              <w:rPr>
                <w:rFonts w:ascii="Arial" w:cs="Arial" w:eastAsia="Arial" w:hAnsi="Arial"/>
                <w:sz w:val="12"/>
                <w:szCs w:val="12"/>
                <w:color w:val="auto"/>
              </w:rPr>
              <w:t>Net loss</w:t>
            </w:r>
          </w:p>
        </w:tc>
        <w:tc>
          <w:tcPr>
            <w:tcW w:w="106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2"/>
              <w:spacing w:after="0" w:line="135" w:lineRule="exact"/>
              <w:rPr>
                <w:sz w:val="20"/>
                <w:szCs w:val="20"/>
                <w:color w:val="auto"/>
              </w:rPr>
            </w:pPr>
            <w:r>
              <w:rPr>
                <w:rFonts w:ascii="Arial" w:cs="Arial" w:eastAsia="Arial" w:hAnsi="Arial"/>
                <w:sz w:val="12"/>
                <w:szCs w:val="12"/>
                <w:color w:val="auto"/>
              </w:rPr>
              <w:t>(193,552)</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ind w:right="2"/>
              <w:spacing w:after="0" w:line="135" w:lineRule="exact"/>
              <w:rPr>
                <w:sz w:val="20"/>
                <w:szCs w:val="20"/>
                <w:color w:val="auto"/>
              </w:rPr>
            </w:pPr>
            <w:r>
              <w:rPr>
                <w:rFonts w:ascii="Arial" w:cs="Arial" w:eastAsia="Arial" w:hAnsi="Arial"/>
                <w:sz w:val="12"/>
                <w:szCs w:val="12"/>
                <w:color w:val="auto"/>
              </w:rPr>
              <w:t>(193,552)</w:t>
            </w:r>
          </w:p>
        </w:tc>
        <w:tc>
          <w:tcPr>
            <w:tcW w:w="0" w:type="dxa"/>
            <w:vAlign w:val="bottom"/>
          </w:tcPr>
          <w:p>
            <w:pPr>
              <w:spacing w:after="0"/>
              <w:rPr>
                <w:sz w:val="1"/>
                <w:szCs w:val="1"/>
                <w:color w:val="auto"/>
              </w:rPr>
            </w:pPr>
          </w:p>
        </w:tc>
      </w:tr>
      <w:tr>
        <w:trPr>
          <w:trHeight w:val="128"/>
        </w:trPr>
        <w:tc>
          <w:tcPr>
            <w:tcW w:w="3980" w:type="dxa"/>
            <w:vAlign w:val="bottom"/>
          </w:tcPr>
          <w:p>
            <w:pPr>
              <w:spacing w:after="0" w:line="129" w:lineRule="exact"/>
              <w:rPr>
                <w:sz w:val="20"/>
                <w:szCs w:val="20"/>
                <w:color w:val="auto"/>
              </w:rPr>
            </w:pPr>
            <w:r>
              <w:rPr>
                <w:rFonts w:ascii="Arial" w:cs="Arial" w:eastAsia="Arial" w:hAnsi="Arial"/>
                <w:sz w:val="12"/>
                <w:szCs w:val="12"/>
                <w:b w:val="1"/>
                <w:bCs w:val="1"/>
                <w:color w:val="auto"/>
              </w:rPr>
              <w:t>Balance at September 30, 2026</w:t>
            </w:r>
          </w:p>
        </w:tc>
        <w:tc>
          <w:tcPr>
            <w:tcW w:w="10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187,328,238</w:t>
            </w:r>
          </w:p>
        </w:tc>
        <w:tc>
          <w:tcPr>
            <w:tcW w:w="840" w:type="dxa"/>
            <w:vAlign w:val="bottom"/>
            <w:gridSpan w:val="2"/>
          </w:tcPr>
          <w:p>
            <w:pPr>
              <w:jc w:val="right"/>
              <w:ind w:right="602"/>
              <w:spacing w:after="0" w:line="129"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18</w:t>
            </w:r>
          </w:p>
        </w:tc>
        <w:tc>
          <w:tcPr>
            <w:tcW w:w="240" w:type="dxa"/>
            <w:vAlign w:val="bottom"/>
            <w:gridSpan w:val="2"/>
          </w:tcPr>
          <w:p>
            <w:pPr>
              <w:jc w:val="right"/>
              <w:ind w:right="2"/>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2,821,022</w:t>
            </w:r>
          </w:p>
        </w:tc>
        <w:tc>
          <w:tcPr>
            <w:tcW w:w="280" w:type="dxa"/>
            <w:vAlign w:val="bottom"/>
            <w:gridSpan w:val="2"/>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(1,003)</w:t>
            </w:r>
          </w:p>
        </w:tc>
        <w:tc>
          <w:tcPr>
            <w:tcW w:w="1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
              <w:spacing w:after="0" w:line="129" w:lineRule="exact"/>
              <w:rPr>
                <w:sz w:val="20"/>
                <w:szCs w:val="20"/>
                <w:color w:val="auto"/>
              </w:rPr>
            </w:pPr>
            <w:r>
              <w:rPr>
                <w:rFonts w:ascii="Arial" w:cs="Arial" w:eastAsia="Arial" w:hAnsi="Arial"/>
                <w:sz w:val="12"/>
                <w:szCs w:val="12"/>
                <w:color w:val="auto"/>
              </w:rPr>
              <w:t>(1,889,104)</w:t>
            </w:r>
          </w:p>
        </w:tc>
        <w:tc>
          <w:tcPr>
            <w:tcW w:w="200" w:type="dxa"/>
            <w:vAlign w:val="bottom"/>
            <w:gridSpan w:val="2"/>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930,933</w:t>
            </w:r>
          </w:p>
        </w:tc>
        <w:tc>
          <w:tcPr>
            <w:tcW w:w="0" w:type="dxa"/>
            <w:vAlign w:val="bottom"/>
          </w:tcPr>
          <w:p>
            <w:pPr>
              <w:spacing w:after="0"/>
              <w:rPr>
                <w:sz w:val="1"/>
                <w:szCs w:val="1"/>
                <w:color w:val="auto"/>
              </w:rPr>
            </w:pPr>
          </w:p>
        </w:tc>
      </w:tr>
      <w:tr>
        <w:trPr>
          <w:trHeight w:val="389"/>
        </w:trPr>
        <w:tc>
          <w:tcPr>
            <w:tcW w:w="39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gridSpan w:val="3"/>
            <w:vMerge w:val="restart"/>
          </w:tcPr>
          <w:p>
            <w:pPr>
              <w:jc w:val="right"/>
              <w:ind w:right="382"/>
              <w:spacing w:after="0"/>
              <w:rPr>
                <w:sz w:val="20"/>
                <w:szCs w:val="20"/>
                <w:color w:val="auto"/>
              </w:rPr>
            </w:pPr>
            <w:r>
              <w:rPr>
                <w:rFonts w:ascii="Arial" w:cs="Arial" w:eastAsia="Arial" w:hAnsi="Arial"/>
                <w:sz w:val="12"/>
                <w:szCs w:val="12"/>
                <w:b w:val="1"/>
                <w:bCs w:val="1"/>
                <w:color w:val="auto"/>
              </w:rPr>
              <w:t>Common Stock</w:t>
            </w: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ind w:right="202"/>
              <w:spacing w:after="0"/>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center"/>
              <w:ind w:right="242"/>
              <w:spacing w:after="0"/>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90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202"/>
              <w:spacing w:after="0" w:line="132" w:lineRule="exact"/>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242"/>
              <w:spacing w:after="0" w:line="132"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22"/>
              <w:spacing w:after="0" w:line="132" w:lineRule="exact"/>
              <w:rPr>
                <w:sz w:val="20"/>
                <w:szCs w:val="20"/>
                <w:color w:val="auto"/>
              </w:rPr>
            </w:pPr>
            <w:r>
              <w:rPr>
                <w:rFonts w:ascii="Arial" w:cs="Arial" w:eastAsia="Arial" w:hAnsi="Arial"/>
                <w:sz w:val="12"/>
                <w:szCs w:val="12"/>
                <w:b w:val="1"/>
                <w:bCs w:val="1"/>
                <w:color w:val="auto"/>
                <w:w w:val="98"/>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42"/>
              <w:spacing w:after="0" w:line="132" w:lineRule="exact"/>
              <w:rPr>
                <w:sz w:val="20"/>
                <w:szCs w:val="20"/>
                <w:color w:val="auto"/>
              </w:rPr>
            </w:pPr>
            <w:r>
              <w:rPr>
                <w:rFonts w:ascii="Arial" w:cs="Arial" w:eastAsia="Arial" w:hAnsi="Arial"/>
                <w:sz w:val="12"/>
                <w:szCs w:val="12"/>
                <w:b w:val="1"/>
                <w:bCs w:val="1"/>
                <w:color w:val="auto"/>
                <w:w w:val="98"/>
              </w:rPr>
              <w:t>Stockholders’</w:t>
            </w: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82"/>
              <w:spacing w:after="0" w:line="119" w:lineRule="exact"/>
              <w:rPr>
                <w:sz w:val="20"/>
                <w:szCs w:val="20"/>
                <w:color w:val="auto"/>
              </w:rPr>
            </w:pPr>
            <w:r>
              <w:rPr>
                <w:rFonts w:ascii="Arial" w:cs="Arial" w:eastAsia="Arial" w:hAnsi="Arial"/>
                <w:sz w:val="12"/>
                <w:szCs w:val="12"/>
                <w:b w:val="1"/>
                <w:bCs w:val="1"/>
                <w:color w:val="auto"/>
                <w:w w:val="98"/>
              </w:rPr>
              <w:t>Comprehensive Gain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Amount</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02"/>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42"/>
              <w:spacing w:after="0"/>
              <w:rPr>
                <w:sz w:val="20"/>
                <w:szCs w:val="20"/>
                <w:color w:val="auto"/>
              </w:rPr>
            </w:pPr>
            <w:r>
              <w:rPr>
                <w:rFonts w:ascii="Arial" w:cs="Arial" w:eastAsia="Arial" w:hAnsi="Arial"/>
                <w:sz w:val="12"/>
                <w:szCs w:val="12"/>
                <w:b w:val="1"/>
                <w:bCs w:val="1"/>
                <w:color w:val="auto"/>
                <w:w w:val="99"/>
              </w:rPr>
              <w:t>(Loss)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42"/>
              <w:spacing w:after="0"/>
              <w:rPr>
                <w:sz w:val="20"/>
                <w:szCs w:val="20"/>
                <w:color w:val="auto"/>
              </w:rPr>
            </w:pPr>
            <w:r>
              <w:rPr>
                <w:rFonts w:ascii="Arial" w:cs="Arial" w:eastAsia="Arial" w:hAnsi="Arial"/>
                <w:sz w:val="12"/>
                <w:szCs w:val="12"/>
                <w:b w:val="1"/>
                <w:bCs w:val="1"/>
                <w:color w:val="auto"/>
                <w:w w:val="98"/>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62"/>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28"/>
        </w:trPr>
        <w:tc>
          <w:tcPr>
            <w:tcW w:w="398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at January 1, 2025</w:t>
            </w:r>
          </w:p>
        </w:tc>
        <w:tc>
          <w:tcPr>
            <w:tcW w:w="10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102,318,629</w:t>
            </w:r>
          </w:p>
        </w:tc>
        <w:tc>
          <w:tcPr>
            <w:tcW w:w="840" w:type="dxa"/>
            <w:vAlign w:val="bottom"/>
            <w:gridSpan w:val="2"/>
            <w:shd w:val="clear" w:color="auto" w:fill="CFF0FC"/>
          </w:tcPr>
          <w:p>
            <w:pPr>
              <w:jc w:val="right"/>
              <w:ind w:right="602"/>
              <w:spacing w:after="0" w:line="129" w:lineRule="exact"/>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10</w:t>
            </w:r>
          </w:p>
        </w:tc>
        <w:tc>
          <w:tcPr>
            <w:tcW w:w="240" w:type="dxa"/>
            <w:vAlign w:val="bottom"/>
            <w:gridSpan w:val="2"/>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1,579,750</w:t>
            </w:r>
          </w:p>
        </w:tc>
        <w:tc>
          <w:tcPr>
            <w:tcW w:w="280" w:type="dxa"/>
            <w:vAlign w:val="bottom"/>
            <w:gridSpan w:val="2"/>
            <w:shd w:val="clear" w:color="auto" w:fill="CFF0FC"/>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6</w:t>
            </w:r>
          </w:p>
        </w:tc>
        <w:tc>
          <w:tcPr>
            <w:tcW w:w="1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rPr>
              <w:t>(949,928)</w:t>
            </w:r>
          </w:p>
        </w:tc>
        <w:tc>
          <w:tcPr>
            <w:tcW w:w="20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629,838</w:t>
            </w:r>
          </w:p>
        </w:tc>
        <w:tc>
          <w:tcPr>
            <w:tcW w:w="0" w:type="dxa"/>
            <w:vAlign w:val="bottom"/>
          </w:tcPr>
          <w:p>
            <w:pPr>
              <w:spacing w:after="0"/>
              <w:rPr>
                <w:sz w:val="1"/>
                <w:szCs w:val="1"/>
                <w:color w:val="auto"/>
              </w:rPr>
            </w:pPr>
          </w:p>
        </w:tc>
      </w:tr>
      <w:tr>
        <w:trPr>
          <w:trHeight w:val="127"/>
        </w:trPr>
        <w:tc>
          <w:tcPr>
            <w:tcW w:w="3980" w:type="dxa"/>
            <w:vAlign w:val="bottom"/>
          </w:tcPr>
          <w:p>
            <w:pPr>
              <w:spacing w:after="0" w:line="128" w:lineRule="exact"/>
              <w:rPr>
                <w:sz w:val="20"/>
                <w:szCs w:val="20"/>
                <w:color w:val="auto"/>
              </w:rPr>
            </w:pPr>
            <w:r>
              <w:rPr>
                <w:rFonts w:ascii="Arial" w:cs="Arial" w:eastAsia="Arial" w:hAnsi="Arial"/>
                <w:sz w:val="12"/>
                <w:szCs w:val="12"/>
                <w:color w:val="auto"/>
              </w:rPr>
              <w:t>Issuance of common stock in at-the-market offering, net of issuance costs</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980" w:type="dxa"/>
            <w:vAlign w:val="bottom"/>
          </w:tcPr>
          <w:p>
            <w:pPr>
              <w:spacing w:after="0"/>
              <w:rPr>
                <w:sz w:val="20"/>
                <w:szCs w:val="20"/>
                <w:color w:val="auto"/>
              </w:rPr>
            </w:pPr>
            <w:r>
              <w:rPr>
                <w:rFonts w:ascii="Arial" w:cs="Arial" w:eastAsia="Arial" w:hAnsi="Arial"/>
                <w:sz w:val="12"/>
                <w:szCs w:val="12"/>
                <w:color w:val="auto"/>
              </w:rPr>
              <w:t>of $4.4 million</w:t>
            </w: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10,660,159</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140,652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140,653</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Exercise of stock options</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89,835</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588</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588</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Stock-based compensation</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13,020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13,020</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Vesting of restricted stock units</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565,159</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Unrealized gains on marketable securities</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235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135"/>
        </w:trPr>
        <w:tc>
          <w:tcPr>
            <w:tcW w:w="3980" w:type="dxa"/>
            <w:vAlign w:val="bottom"/>
            <w:tcBorders>
              <w:bottom w:val="single" w:sz="8" w:color="CFF0FC"/>
            </w:tcBorders>
            <w:shd w:val="clear" w:color="auto" w:fill="CFF0FC"/>
          </w:tcPr>
          <w:p>
            <w:pPr>
              <w:spacing w:after="0" w:line="135" w:lineRule="exact"/>
              <w:rPr>
                <w:sz w:val="20"/>
                <w:szCs w:val="20"/>
                <w:color w:val="auto"/>
              </w:rPr>
            </w:pPr>
            <w:r>
              <w:rPr>
                <w:rFonts w:ascii="Arial" w:cs="Arial" w:eastAsia="Arial" w:hAnsi="Arial"/>
                <w:sz w:val="12"/>
                <w:szCs w:val="12"/>
                <w:color w:val="auto"/>
              </w:rPr>
              <w:t>Net loss</w:t>
            </w:r>
          </w:p>
        </w:tc>
        <w:tc>
          <w:tcPr>
            <w:tcW w:w="106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2"/>
              <w:spacing w:after="0" w:line="135" w:lineRule="exact"/>
              <w:rPr>
                <w:sz w:val="20"/>
                <w:szCs w:val="20"/>
                <w:color w:val="auto"/>
              </w:rPr>
            </w:pPr>
            <w:r>
              <w:rPr>
                <w:rFonts w:ascii="Arial" w:cs="Arial" w:eastAsia="Arial" w:hAnsi="Arial"/>
                <w:sz w:val="12"/>
                <w:szCs w:val="12"/>
                <w:color w:val="auto"/>
              </w:rPr>
              <w:t>(115,361)</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ind w:right="2"/>
              <w:spacing w:after="0" w:line="135" w:lineRule="exact"/>
              <w:rPr>
                <w:sz w:val="20"/>
                <w:szCs w:val="20"/>
                <w:color w:val="auto"/>
              </w:rPr>
            </w:pPr>
            <w:r>
              <w:rPr>
                <w:rFonts w:ascii="Arial" w:cs="Arial" w:eastAsia="Arial" w:hAnsi="Arial"/>
                <w:sz w:val="12"/>
                <w:szCs w:val="12"/>
                <w:color w:val="auto"/>
              </w:rPr>
              <w:t>(115,361)</w:t>
            </w:r>
          </w:p>
        </w:tc>
        <w:tc>
          <w:tcPr>
            <w:tcW w:w="0" w:type="dxa"/>
            <w:vAlign w:val="bottom"/>
          </w:tcPr>
          <w:p>
            <w:pPr>
              <w:spacing w:after="0"/>
              <w:rPr>
                <w:sz w:val="1"/>
                <w:szCs w:val="1"/>
                <w:color w:val="auto"/>
              </w:rPr>
            </w:pPr>
          </w:p>
        </w:tc>
      </w:tr>
      <w:tr>
        <w:trPr>
          <w:trHeight w:val="128"/>
        </w:trPr>
        <w:tc>
          <w:tcPr>
            <w:tcW w:w="3980" w:type="dxa"/>
            <w:vAlign w:val="bottom"/>
          </w:tcPr>
          <w:p>
            <w:pPr>
              <w:spacing w:after="0" w:line="129" w:lineRule="exact"/>
              <w:rPr>
                <w:sz w:val="20"/>
                <w:szCs w:val="20"/>
                <w:color w:val="auto"/>
              </w:rPr>
            </w:pPr>
            <w:r>
              <w:rPr>
                <w:rFonts w:ascii="Arial" w:cs="Arial" w:eastAsia="Arial" w:hAnsi="Arial"/>
                <w:sz w:val="12"/>
                <w:szCs w:val="12"/>
                <w:b w:val="1"/>
                <w:bCs w:val="1"/>
                <w:color w:val="auto"/>
              </w:rPr>
              <w:t>Balance at March 31, 2025</w:t>
            </w:r>
          </w:p>
        </w:tc>
        <w:tc>
          <w:tcPr>
            <w:tcW w:w="10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113,633,782</w:t>
            </w:r>
          </w:p>
        </w:tc>
        <w:tc>
          <w:tcPr>
            <w:tcW w:w="840" w:type="dxa"/>
            <w:vAlign w:val="bottom"/>
            <w:gridSpan w:val="2"/>
          </w:tcPr>
          <w:p>
            <w:pPr>
              <w:jc w:val="right"/>
              <w:ind w:right="602"/>
              <w:spacing w:after="0" w:line="129"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11</w:t>
            </w:r>
          </w:p>
        </w:tc>
        <w:tc>
          <w:tcPr>
            <w:tcW w:w="240" w:type="dxa"/>
            <w:vAlign w:val="bottom"/>
            <w:gridSpan w:val="2"/>
          </w:tcPr>
          <w:p>
            <w:pPr>
              <w:jc w:val="right"/>
              <w:ind w:right="2"/>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1,734,010</w:t>
            </w:r>
          </w:p>
        </w:tc>
        <w:tc>
          <w:tcPr>
            <w:tcW w:w="280" w:type="dxa"/>
            <w:vAlign w:val="bottom"/>
            <w:gridSpan w:val="2"/>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241</w:t>
            </w:r>
          </w:p>
        </w:tc>
        <w:tc>
          <w:tcPr>
            <w:tcW w:w="1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
              <w:spacing w:after="0" w:line="129" w:lineRule="exact"/>
              <w:rPr>
                <w:sz w:val="20"/>
                <w:szCs w:val="20"/>
                <w:color w:val="auto"/>
              </w:rPr>
            </w:pPr>
            <w:r>
              <w:rPr>
                <w:rFonts w:ascii="Arial" w:cs="Arial" w:eastAsia="Arial" w:hAnsi="Arial"/>
                <w:sz w:val="12"/>
                <w:szCs w:val="12"/>
                <w:color w:val="auto"/>
              </w:rPr>
              <w:t>(1,065,289)</w:t>
            </w:r>
          </w:p>
        </w:tc>
        <w:tc>
          <w:tcPr>
            <w:tcW w:w="200" w:type="dxa"/>
            <w:vAlign w:val="bottom"/>
            <w:gridSpan w:val="2"/>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668,973</w:t>
            </w:r>
          </w:p>
        </w:tc>
        <w:tc>
          <w:tcPr>
            <w:tcW w:w="0" w:type="dxa"/>
            <w:vAlign w:val="bottom"/>
          </w:tcPr>
          <w:p>
            <w:pPr>
              <w:spacing w:after="0"/>
              <w:rPr>
                <w:sz w:val="1"/>
                <w:szCs w:val="1"/>
                <w:color w:val="auto"/>
              </w:rPr>
            </w:pPr>
          </w:p>
        </w:tc>
      </w:tr>
      <w:tr>
        <w:trPr>
          <w:trHeight w:val="128"/>
        </w:trPr>
        <w:tc>
          <w:tcPr>
            <w:tcW w:w="398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Exercise of stock options</w:t>
            </w:r>
          </w:p>
        </w:tc>
        <w:tc>
          <w:tcPr>
            <w:tcW w:w="106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488,457</w:t>
            </w:r>
          </w:p>
        </w:tc>
        <w:tc>
          <w:tcPr>
            <w:tcW w:w="12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2,795</w:t>
            </w:r>
          </w:p>
        </w:tc>
        <w:tc>
          <w:tcPr>
            <w:tcW w:w="1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2,795</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Stock-based compensation</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10,523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10,523</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Vesting of restricted stock units</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216,371</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Unrealized gains on marketable securities</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5"/>
        </w:trPr>
        <w:tc>
          <w:tcPr>
            <w:tcW w:w="3980" w:type="dxa"/>
            <w:vAlign w:val="bottom"/>
            <w:tcBorders>
              <w:bottom w:val="single" w:sz="8" w:color="CFF0FC"/>
            </w:tcBorders>
            <w:shd w:val="clear" w:color="auto" w:fill="CFF0FC"/>
          </w:tcPr>
          <w:p>
            <w:pPr>
              <w:spacing w:after="0" w:line="135" w:lineRule="exact"/>
              <w:rPr>
                <w:sz w:val="20"/>
                <w:szCs w:val="20"/>
                <w:color w:val="auto"/>
              </w:rPr>
            </w:pPr>
            <w:r>
              <w:rPr>
                <w:rFonts w:ascii="Arial" w:cs="Arial" w:eastAsia="Arial" w:hAnsi="Arial"/>
                <w:sz w:val="12"/>
                <w:szCs w:val="12"/>
                <w:color w:val="auto"/>
              </w:rPr>
              <w:t>Net loss</w:t>
            </w:r>
          </w:p>
        </w:tc>
        <w:tc>
          <w:tcPr>
            <w:tcW w:w="106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2"/>
              <w:spacing w:after="0" w:line="135" w:lineRule="exact"/>
              <w:rPr>
                <w:sz w:val="20"/>
                <w:szCs w:val="20"/>
                <w:color w:val="auto"/>
              </w:rPr>
            </w:pPr>
            <w:r>
              <w:rPr>
                <w:rFonts w:ascii="Arial" w:cs="Arial" w:eastAsia="Arial" w:hAnsi="Arial"/>
                <w:sz w:val="12"/>
                <w:szCs w:val="12"/>
                <w:color w:val="auto"/>
              </w:rPr>
              <w:t>(110,857)</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ind w:right="2"/>
              <w:spacing w:after="0" w:line="135" w:lineRule="exact"/>
              <w:rPr>
                <w:sz w:val="20"/>
                <w:szCs w:val="20"/>
                <w:color w:val="auto"/>
              </w:rPr>
            </w:pPr>
            <w:r>
              <w:rPr>
                <w:rFonts w:ascii="Arial" w:cs="Arial" w:eastAsia="Arial" w:hAnsi="Arial"/>
                <w:sz w:val="12"/>
                <w:szCs w:val="12"/>
                <w:color w:val="auto"/>
              </w:rPr>
              <w:t>(110,857)</w:t>
            </w:r>
          </w:p>
        </w:tc>
        <w:tc>
          <w:tcPr>
            <w:tcW w:w="0" w:type="dxa"/>
            <w:vAlign w:val="bottom"/>
          </w:tcPr>
          <w:p>
            <w:pPr>
              <w:spacing w:after="0"/>
              <w:rPr>
                <w:sz w:val="1"/>
                <w:szCs w:val="1"/>
                <w:color w:val="auto"/>
              </w:rPr>
            </w:pPr>
          </w:p>
        </w:tc>
      </w:tr>
      <w:tr>
        <w:trPr>
          <w:trHeight w:val="129"/>
        </w:trPr>
        <w:tc>
          <w:tcPr>
            <w:tcW w:w="3980" w:type="dxa"/>
            <w:vAlign w:val="bottom"/>
          </w:tcPr>
          <w:p>
            <w:pPr>
              <w:spacing w:after="0" w:line="129" w:lineRule="exact"/>
              <w:rPr>
                <w:sz w:val="20"/>
                <w:szCs w:val="20"/>
                <w:color w:val="auto"/>
              </w:rPr>
            </w:pPr>
            <w:r>
              <w:rPr>
                <w:rFonts w:ascii="Arial" w:cs="Arial" w:eastAsia="Arial" w:hAnsi="Arial"/>
                <w:sz w:val="12"/>
                <w:szCs w:val="12"/>
                <w:b w:val="1"/>
                <w:bCs w:val="1"/>
                <w:color w:val="auto"/>
              </w:rPr>
              <w:t>Balance at June 30, 2025</w:t>
            </w:r>
          </w:p>
        </w:tc>
        <w:tc>
          <w:tcPr>
            <w:tcW w:w="10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114,338,610</w:t>
            </w:r>
          </w:p>
        </w:tc>
        <w:tc>
          <w:tcPr>
            <w:tcW w:w="840" w:type="dxa"/>
            <w:vAlign w:val="bottom"/>
            <w:gridSpan w:val="2"/>
          </w:tcPr>
          <w:p>
            <w:pPr>
              <w:jc w:val="right"/>
              <w:ind w:right="602"/>
              <w:spacing w:after="0" w:line="129"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11</w:t>
            </w:r>
          </w:p>
        </w:tc>
        <w:tc>
          <w:tcPr>
            <w:tcW w:w="240" w:type="dxa"/>
            <w:vAlign w:val="bottom"/>
            <w:gridSpan w:val="2"/>
          </w:tcPr>
          <w:p>
            <w:pPr>
              <w:jc w:val="right"/>
              <w:ind w:right="2"/>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1,747,328</w:t>
            </w:r>
          </w:p>
        </w:tc>
        <w:tc>
          <w:tcPr>
            <w:tcW w:w="280" w:type="dxa"/>
            <w:vAlign w:val="bottom"/>
            <w:gridSpan w:val="2"/>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252</w:t>
            </w:r>
          </w:p>
        </w:tc>
        <w:tc>
          <w:tcPr>
            <w:tcW w:w="1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
              <w:spacing w:after="0" w:line="129" w:lineRule="exact"/>
              <w:rPr>
                <w:sz w:val="20"/>
                <w:szCs w:val="20"/>
                <w:color w:val="auto"/>
              </w:rPr>
            </w:pPr>
            <w:r>
              <w:rPr>
                <w:rFonts w:ascii="Arial" w:cs="Arial" w:eastAsia="Arial" w:hAnsi="Arial"/>
                <w:sz w:val="12"/>
                <w:szCs w:val="12"/>
                <w:color w:val="auto"/>
              </w:rPr>
              <w:t>(1,176,146)</w:t>
            </w:r>
          </w:p>
        </w:tc>
        <w:tc>
          <w:tcPr>
            <w:tcW w:w="200" w:type="dxa"/>
            <w:vAlign w:val="bottom"/>
            <w:gridSpan w:val="2"/>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571,445</w:t>
            </w:r>
          </w:p>
        </w:tc>
        <w:tc>
          <w:tcPr>
            <w:tcW w:w="0" w:type="dxa"/>
            <w:vAlign w:val="bottom"/>
          </w:tcPr>
          <w:p>
            <w:pPr>
              <w:spacing w:after="0"/>
              <w:rPr>
                <w:sz w:val="1"/>
                <w:szCs w:val="1"/>
                <w:color w:val="auto"/>
              </w:rPr>
            </w:pPr>
          </w:p>
        </w:tc>
      </w:tr>
      <w:tr>
        <w:trPr>
          <w:trHeight w:val="121"/>
        </w:trPr>
        <w:tc>
          <w:tcPr>
            <w:tcW w:w="3980" w:type="dxa"/>
            <w:vAlign w:val="bottom"/>
            <w:shd w:val="clear" w:color="auto" w:fill="CFF0FC"/>
          </w:tcPr>
          <w:p>
            <w:pPr>
              <w:spacing w:after="0" w:line="121" w:lineRule="exact"/>
              <w:rPr>
                <w:sz w:val="20"/>
                <w:szCs w:val="20"/>
                <w:color w:val="auto"/>
              </w:rPr>
            </w:pPr>
            <w:r>
              <w:rPr>
                <w:rFonts w:ascii="Arial" w:cs="Arial" w:eastAsia="Arial" w:hAnsi="Arial"/>
                <w:sz w:val="12"/>
                <w:szCs w:val="12"/>
                <w:color w:val="auto"/>
              </w:rPr>
              <w:t>Issuance of common stock in public offering, net of issuance costs of</w:t>
            </w:r>
          </w:p>
        </w:tc>
        <w:tc>
          <w:tcPr>
            <w:tcW w:w="10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2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980" w:type="dxa"/>
            <w:vAlign w:val="bottom"/>
            <w:shd w:val="clear" w:color="auto" w:fill="CFF0FC"/>
          </w:tcPr>
          <w:p>
            <w:pPr>
              <w:spacing w:after="0"/>
              <w:rPr>
                <w:sz w:val="20"/>
                <w:szCs w:val="20"/>
                <w:color w:val="auto"/>
              </w:rPr>
            </w:pPr>
            <w:r>
              <w:rPr>
                <w:rFonts w:ascii="Arial" w:cs="Arial" w:eastAsia="Arial" w:hAnsi="Arial"/>
                <w:sz w:val="12"/>
                <w:szCs w:val="12"/>
                <w:color w:val="auto"/>
              </w:rPr>
              <w:t>$14.1 million</w:t>
            </w:r>
          </w:p>
        </w:tc>
        <w:tc>
          <w:tcPr>
            <w:tcW w:w="10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27,878,788</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215,800</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215,803</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Exercise of stock options</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151,492</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1,250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1,250</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Stock-based compensation</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11,082</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11,082</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Vesting of restricted stock units</w:t>
            </w:r>
          </w:p>
        </w:tc>
        <w:tc>
          <w:tcPr>
            <w:tcW w:w="10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244,358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98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Unrealized gains on marketable securities</w:t>
            </w:r>
          </w:p>
        </w:tc>
        <w:tc>
          <w:tcPr>
            <w:tcW w:w="10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244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Arial" w:cs="Arial" w:eastAsia="Arial" w:hAnsi="Arial"/>
                <w:sz w:val="12"/>
                <w:szCs w:val="12"/>
                <w:color w:val="auto"/>
              </w:rPr>
              <w:t>244</w:t>
            </w: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2"/>
                <w:szCs w:val="12"/>
                <w:color w:val="auto"/>
              </w:rPr>
              <w:t>Net loss</w:t>
            </w:r>
          </w:p>
        </w:tc>
        <w:tc>
          <w:tcPr>
            <w:tcW w:w="106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(108,041)</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(108,041)</w:t>
            </w:r>
          </w:p>
        </w:tc>
        <w:tc>
          <w:tcPr>
            <w:tcW w:w="0" w:type="dxa"/>
            <w:vAlign w:val="bottom"/>
          </w:tcPr>
          <w:p>
            <w:pPr>
              <w:spacing w:after="0"/>
              <w:rPr>
                <w:sz w:val="1"/>
                <w:szCs w:val="1"/>
                <w:color w:val="auto"/>
              </w:rPr>
            </w:pPr>
          </w:p>
        </w:tc>
      </w:tr>
      <w:tr>
        <w:trPr>
          <w:trHeight w:val="128"/>
        </w:trPr>
        <w:tc>
          <w:tcPr>
            <w:tcW w:w="398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at September 30, 2025</w:t>
            </w:r>
          </w:p>
        </w:tc>
        <w:tc>
          <w:tcPr>
            <w:tcW w:w="10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142,613,248</w:t>
            </w:r>
          </w:p>
        </w:tc>
        <w:tc>
          <w:tcPr>
            <w:tcW w:w="840" w:type="dxa"/>
            <w:vAlign w:val="bottom"/>
            <w:gridSpan w:val="2"/>
            <w:shd w:val="clear" w:color="auto" w:fill="CFF0FC"/>
          </w:tcPr>
          <w:p>
            <w:pPr>
              <w:jc w:val="right"/>
              <w:ind w:right="602"/>
              <w:spacing w:after="0" w:line="129" w:lineRule="exact"/>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14</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w w:val="89"/>
              </w:rPr>
              <w:t>$</w:t>
            </w:r>
          </w:p>
        </w:tc>
        <w:tc>
          <w:tcPr>
            <w:tcW w:w="96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1,975,460</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42"/>
              <w:spacing w:after="0" w:line="129" w:lineRule="exact"/>
              <w:rPr>
                <w:sz w:val="20"/>
                <w:szCs w:val="20"/>
                <w:color w:val="auto"/>
              </w:rPr>
            </w:pPr>
            <w:r>
              <w:rPr>
                <w:rFonts w:ascii="Arial" w:cs="Arial" w:eastAsia="Arial" w:hAnsi="Arial"/>
                <w:sz w:val="12"/>
                <w:szCs w:val="12"/>
                <w:color w:val="auto"/>
                <w:w w:val="89"/>
              </w:rPr>
              <w:t>$</w:t>
            </w:r>
          </w:p>
        </w:tc>
        <w:tc>
          <w:tcPr>
            <w:tcW w:w="12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496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w w:val="89"/>
              </w:rPr>
              <w:t>$</w:t>
            </w:r>
          </w:p>
        </w:tc>
        <w:tc>
          <w:tcPr>
            <w:tcW w:w="960" w:type="dxa"/>
            <w:vAlign w:val="bottom"/>
            <w:shd w:val="clear" w:color="auto" w:fill="CFF0FC"/>
          </w:tcPr>
          <w:p>
            <w:pPr>
              <w:jc w:val="right"/>
              <w:ind w:right="2"/>
              <w:spacing w:after="0" w:line="129" w:lineRule="exact"/>
              <w:rPr>
                <w:sz w:val="20"/>
                <w:szCs w:val="20"/>
                <w:color w:val="auto"/>
              </w:rPr>
            </w:pPr>
            <w:r>
              <w:rPr>
                <w:rFonts w:ascii="Arial" w:cs="Arial" w:eastAsia="Arial" w:hAnsi="Arial"/>
                <w:sz w:val="12"/>
                <w:szCs w:val="12"/>
                <w:color w:val="auto"/>
              </w:rPr>
              <w:t>(1,284,187)</w:t>
            </w:r>
          </w:p>
        </w:tc>
        <w:tc>
          <w:tcPr>
            <w:tcW w:w="20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62"/>
              <w:spacing w:after="0" w:line="129" w:lineRule="exact"/>
              <w:rPr>
                <w:sz w:val="20"/>
                <w:szCs w:val="20"/>
                <w:color w:val="auto"/>
              </w:rPr>
            </w:pPr>
            <w:r>
              <w:rPr>
                <w:rFonts w:ascii="Arial" w:cs="Arial" w:eastAsia="Arial" w:hAnsi="Arial"/>
                <w:sz w:val="12"/>
                <w:szCs w:val="12"/>
                <w:color w:val="auto"/>
              </w:rPr>
              <w:t>691,783</w:t>
            </w:r>
          </w:p>
        </w:tc>
        <w:tc>
          <w:tcPr>
            <w:tcW w:w="0" w:type="dxa"/>
            <w:vAlign w:val="bottom"/>
          </w:tcPr>
          <w:p>
            <w:pPr>
              <w:spacing w:after="0"/>
              <w:rPr>
                <w:sz w:val="1"/>
                <w:szCs w:val="1"/>
                <w:color w:val="auto"/>
              </w:rPr>
            </w:pPr>
          </w:p>
        </w:tc>
      </w:tr>
      <w:tr>
        <w:trPr>
          <w:trHeight w:val="20"/>
        </w:trPr>
        <w:tc>
          <w:tcPr>
            <w:tcW w:w="39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-3788410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-3788410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-3788410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-3788410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-3788410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-3256915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-3256915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-3256915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-3256915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-3256915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-2647950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-2647950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-2647950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-2647950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-2647950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-1336675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-1336675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-1336675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-1336675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-1336675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-805180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-805180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-805180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-805180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-805180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Dyne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264"/>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7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4"/>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24"/>
              <w:spacing w:after="0" w:line="155" w:lineRule="exact"/>
              <w:rPr>
                <w:sz w:val="20"/>
                <w:szCs w:val="20"/>
                <w:color w:val="auto"/>
              </w:rPr>
            </w:pPr>
            <w:r>
              <w:rPr>
                <w:rFonts w:ascii="Arial" w:cs="Arial" w:eastAsia="Arial" w:hAnsi="Arial"/>
                <w:sz w:val="14"/>
                <w:szCs w:val="14"/>
                <w:b w:val="1"/>
                <w:bCs w:val="1"/>
                <w:color w:val="auto"/>
              </w:rPr>
              <w:t>2025</w:t>
            </w:r>
          </w:p>
        </w:tc>
      </w:tr>
      <w:tr>
        <w:trPr>
          <w:trHeight w:val="156"/>
        </w:trPr>
        <w:tc>
          <w:tcPr>
            <w:tcW w:w="724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r>
      <w:tr>
        <w:trPr>
          <w:trHeight w:val="162"/>
        </w:trPr>
        <w:tc>
          <w:tcPr>
            <w:tcW w:w="724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12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(492,962)</w:t>
            </w:r>
          </w:p>
        </w:tc>
        <w:tc>
          <w:tcPr>
            <w:tcW w:w="4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(334,259)</w:t>
            </w:r>
          </w:p>
        </w:tc>
      </w:tr>
      <w:tr>
        <w:trPr>
          <w:trHeight w:val="162"/>
        </w:trPr>
        <w:tc>
          <w:tcPr>
            <w:tcW w:w="724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Stock-based compensation expense</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44,263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34,625</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Depreciation and amortization expense</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1,751</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1,528</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Non-cash lease expense</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433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128</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Non-cash interest expense</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284</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62</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Accretion of premium on marketable securities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(732)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(1,447)</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Gain on sale of marketable securities</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(14)</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95</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62"/>
        </w:trPr>
        <w:tc>
          <w:tcPr>
            <w:tcW w:w="7240" w:type="dxa"/>
            <w:vAlign w:val="bottom"/>
          </w:tcPr>
          <w:p>
            <w:pPr>
              <w:ind w:left="3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(25,747)</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3,184</w:t>
            </w:r>
          </w:p>
        </w:tc>
      </w:tr>
      <w:tr>
        <w:trPr>
          <w:trHeight w:val="162"/>
        </w:trPr>
        <w:tc>
          <w:tcPr>
            <w:tcW w:w="7240" w:type="dxa"/>
            <w:vAlign w:val="bottom"/>
            <w:shd w:val="clear" w:color="auto" w:fill="CFF0FC"/>
          </w:tcPr>
          <w:p>
            <w:pPr>
              <w:ind w:left="320"/>
              <w:spacing w:after="0" w:line="162" w:lineRule="exact"/>
              <w:rPr>
                <w:sz w:val="20"/>
                <w:szCs w:val="20"/>
                <w:color w:val="auto"/>
              </w:rPr>
            </w:pPr>
            <w:r>
              <w:rPr>
                <w:rFonts w:ascii="Arial" w:cs="Arial" w:eastAsia="Arial" w:hAnsi="Arial"/>
                <w:sz w:val="15"/>
                <w:szCs w:val="15"/>
                <w:color w:val="auto"/>
              </w:rPr>
              <w:t>Other non-current assets</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4,107</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(12,991)</w:t>
            </w:r>
          </w:p>
        </w:tc>
      </w:tr>
      <w:tr>
        <w:trPr>
          <w:trHeight w:val="162"/>
        </w:trPr>
        <w:tc>
          <w:tcPr>
            <w:tcW w:w="7240" w:type="dxa"/>
            <w:vAlign w:val="bottom"/>
          </w:tcPr>
          <w:p>
            <w:pPr>
              <w:ind w:left="320"/>
              <w:spacing w:after="0" w:line="162" w:lineRule="exact"/>
              <w:rPr>
                <w:sz w:val="20"/>
                <w:szCs w:val="20"/>
                <w:color w:val="auto"/>
              </w:rPr>
            </w:pPr>
            <w:r>
              <w:rPr>
                <w:rFonts w:ascii="Arial" w:cs="Arial" w:eastAsia="Arial" w:hAnsi="Arial"/>
                <w:sz w:val="15"/>
                <w:szCs w:val="15"/>
                <w:color w:val="auto"/>
              </w:rPr>
              <w:t>Accounts payable and other liabilities</w:t>
            </w: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15,879</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17,714</w:t>
            </w:r>
          </w:p>
        </w:tc>
      </w:tr>
      <w:tr>
        <w:trPr>
          <w:trHeight w:val="155"/>
        </w:trPr>
        <w:tc>
          <w:tcPr>
            <w:tcW w:w="724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5"/>
                <w:szCs w:val="15"/>
                <w:color w:val="auto"/>
              </w:rPr>
              <w:t>Net cash used in operating activities</w:t>
            </w:r>
          </w:p>
        </w:tc>
        <w:tc>
          <w:tcPr>
            <w:tcW w:w="10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(452,697)</w:t>
            </w:r>
          </w:p>
        </w:tc>
        <w:tc>
          <w:tcPr>
            <w:tcW w:w="1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(291,375)</w:t>
            </w:r>
          </w:p>
        </w:tc>
      </w:tr>
      <w:tr>
        <w:trPr>
          <w:trHeight w:val="156"/>
        </w:trPr>
        <w:tc>
          <w:tcPr>
            <w:tcW w:w="724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Purchases of property and equipment</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(3,748)</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(1,436)</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Purchases of marketable securities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(158,620)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(153,823)</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Maturities of marketable securities</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92,704</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135,847</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Sales of marketable securities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61,183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8,469</w:t>
            </w:r>
          </w:p>
        </w:tc>
      </w:tr>
      <w:tr>
        <w:trPr>
          <w:trHeight w:val="162"/>
        </w:trPr>
        <w:tc>
          <w:tcPr>
            <w:tcW w:w="7240" w:type="dxa"/>
            <w:vAlign w:val="bottom"/>
            <w:tcBorders>
              <w:bottom w:val="single" w:sz="8" w:color="CFF0FC"/>
            </w:tcBorders>
            <w:shd w:val="clear" w:color="auto" w:fill="CFF0FC"/>
          </w:tcPr>
          <w:p>
            <w:pPr>
              <w:ind w:left="160"/>
              <w:spacing w:after="0" w:line="162" w:lineRule="exact"/>
              <w:rPr>
                <w:sz w:val="20"/>
                <w:szCs w:val="20"/>
                <w:color w:val="auto"/>
              </w:rPr>
            </w:pPr>
            <w:r>
              <w:rPr>
                <w:rFonts w:ascii="Arial" w:cs="Arial" w:eastAsia="Arial" w:hAnsi="Arial"/>
                <w:sz w:val="15"/>
                <w:szCs w:val="15"/>
                <w:color w:val="auto"/>
              </w:rPr>
              <w:t>Advance payment for long-lead equipment</w:t>
            </w:r>
          </w:p>
        </w:tc>
        <w:tc>
          <w:tcPr>
            <w:tcW w:w="10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(18,790)</w:t>
            </w:r>
          </w:p>
        </w:tc>
      </w:tr>
      <w:tr>
        <w:trPr>
          <w:trHeight w:val="155"/>
        </w:trPr>
        <w:tc>
          <w:tcPr>
            <w:tcW w:w="7240" w:type="dxa"/>
            <w:vAlign w:val="bottom"/>
          </w:tcPr>
          <w:p>
            <w:pPr>
              <w:ind w:left="160"/>
              <w:spacing w:after="0" w:line="156" w:lineRule="exact"/>
              <w:rPr>
                <w:sz w:val="20"/>
                <w:szCs w:val="20"/>
                <w:color w:val="auto"/>
              </w:rPr>
            </w:pPr>
            <w:r>
              <w:rPr>
                <w:rFonts w:ascii="Arial" w:cs="Arial" w:eastAsia="Arial" w:hAnsi="Arial"/>
                <w:sz w:val="15"/>
                <w:szCs w:val="15"/>
                <w:color w:val="auto"/>
              </w:rPr>
              <w:t>Net cash used in investing activities</w:t>
            </w:r>
          </w:p>
        </w:tc>
        <w:tc>
          <w:tcPr>
            <w:tcW w:w="1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(8,481)</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(29,733)</w:t>
            </w:r>
          </w:p>
        </w:tc>
      </w:tr>
      <w:tr>
        <w:trPr>
          <w:trHeight w:val="156"/>
        </w:trPr>
        <w:tc>
          <w:tcPr>
            <w:tcW w:w="724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Proceeds from issuance of common stock in public offering, net of issuance costs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404,907</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215,803</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Proceeds from exercise of stock options</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4,074</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4,633</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Proceeds from issuance of long-term debt, net of issuance costs paid</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49,450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98,802</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Payment of debt issuance costs</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(86)</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(549)</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Proceeds from vendor financing arrangement</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34,944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Repayments under vendor financing arrangement</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(9,587)</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Payment of issuance costs from December 2025 public offering of common stock</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(424)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r>
      <w:tr>
        <w:trPr>
          <w:trHeight w:val="162"/>
        </w:trPr>
        <w:tc>
          <w:tcPr>
            <w:tcW w:w="7240" w:type="dxa"/>
            <w:vAlign w:val="bottom"/>
            <w:tcBorders>
              <w:bottom w:val="single" w:sz="8" w:color="CFF0FC"/>
            </w:tcBorders>
            <w:shd w:val="clear" w:color="auto" w:fill="CFF0FC"/>
          </w:tcPr>
          <w:p>
            <w:pPr>
              <w:ind w:left="160"/>
              <w:spacing w:after="0" w:line="162" w:lineRule="exact"/>
              <w:rPr>
                <w:sz w:val="20"/>
                <w:szCs w:val="20"/>
                <w:color w:val="auto"/>
              </w:rPr>
            </w:pPr>
            <w:r>
              <w:rPr>
                <w:rFonts w:ascii="Arial" w:cs="Arial" w:eastAsia="Arial" w:hAnsi="Arial"/>
                <w:sz w:val="15"/>
                <w:szCs w:val="15"/>
                <w:color w:val="auto"/>
              </w:rPr>
              <w:t>Proceeds from issuance of common stock in at-the-market offering, net of issuance costs</w:t>
            </w:r>
          </w:p>
        </w:tc>
        <w:tc>
          <w:tcPr>
            <w:tcW w:w="10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140,653</w:t>
            </w:r>
          </w:p>
        </w:tc>
      </w:tr>
      <w:tr>
        <w:trPr>
          <w:trHeight w:val="155"/>
        </w:trPr>
        <w:tc>
          <w:tcPr>
            <w:tcW w:w="7240" w:type="dxa"/>
            <w:vAlign w:val="bottom"/>
          </w:tcPr>
          <w:p>
            <w:pPr>
              <w:ind w:left="160"/>
              <w:spacing w:after="0" w:line="156" w:lineRule="exact"/>
              <w:rPr>
                <w:sz w:val="20"/>
                <w:szCs w:val="20"/>
                <w:color w:val="auto"/>
              </w:rPr>
            </w:pPr>
            <w:r>
              <w:rPr>
                <w:rFonts w:ascii="Arial" w:cs="Arial" w:eastAsia="Arial" w:hAnsi="Arial"/>
                <w:sz w:val="15"/>
                <w:szCs w:val="15"/>
                <w:color w:val="auto"/>
              </w:rPr>
              <w:t>Net cash provided by financing activities</w:t>
            </w:r>
          </w:p>
        </w:tc>
        <w:tc>
          <w:tcPr>
            <w:tcW w:w="1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483,278</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459,342</w:t>
            </w:r>
          </w:p>
        </w:tc>
      </w:tr>
      <w:tr>
        <w:trPr>
          <w:trHeight w:val="156"/>
        </w:trPr>
        <w:tc>
          <w:tcPr>
            <w:tcW w:w="724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Net increase in cash, cash equivalents and restricted cash</w:t>
            </w: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22,100</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138,234</w:t>
            </w:r>
          </w:p>
        </w:tc>
      </w:tr>
      <w:tr>
        <w:trPr>
          <w:trHeight w:val="162"/>
        </w:trPr>
        <w:tc>
          <w:tcPr>
            <w:tcW w:w="7240" w:type="dxa"/>
            <w:vAlign w:val="bottom"/>
          </w:tcPr>
          <w:p>
            <w:pPr>
              <w:spacing w:after="0" w:line="162" w:lineRule="exact"/>
              <w:rPr>
                <w:sz w:val="20"/>
                <w:szCs w:val="20"/>
                <w:color w:val="auto"/>
              </w:rPr>
            </w:pPr>
            <w:r>
              <w:rPr>
                <w:rFonts w:ascii="Arial" w:cs="Arial" w:eastAsia="Arial" w:hAnsi="Arial"/>
                <w:sz w:val="15"/>
                <w:szCs w:val="15"/>
                <w:color w:val="auto"/>
              </w:rPr>
              <w:t>Cash, cash equivalents and restricted cash, beginning of period</w:t>
            </w: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895,740</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437,391</w:t>
            </w:r>
          </w:p>
        </w:tc>
      </w:tr>
      <w:tr>
        <w:trPr>
          <w:trHeight w:val="155"/>
        </w:trPr>
        <w:tc>
          <w:tcPr>
            <w:tcW w:w="724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12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917,840</w:t>
            </w:r>
          </w:p>
        </w:tc>
        <w:tc>
          <w:tcPr>
            <w:tcW w:w="420" w:type="dxa"/>
            <w:vAlign w:val="bottom"/>
            <w:gridSpan w:val="2"/>
            <w:shd w:val="clear" w:color="auto" w:fill="CFF0FC"/>
          </w:tcPr>
          <w:p>
            <w:pPr>
              <w:jc w:val="right"/>
              <w:ind w:right="200"/>
              <w:spacing w:after="0" w:line="156" w:lineRule="exact"/>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575,625</w:t>
            </w:r>
          </w:p>
        </w:tc>
      </w:tr>
      <w:tr>
        <w:trPr>
          <w:trHeight w:val="156"/>
        </w:trPr>
        <w:tc>
          <w:tcPr>
            <w:tcW w:w="7240" w:type="dxa"/>
            <w:vAlign w:val="bottom"/>
            <w:tcBorders>
              <w:top w:val="single" w:sz="8" w:color="CFF0FC"/>
            </w:tcBorders>
          </w:tcPr>
          <w:p>
            <w:pPr>
              <w:spacing w:after="0" w:line="156" w:lineRule="exact"/>
              <w:rPr>
                <w:sz w:val="20"/>
                <w:szCs w:val="20"/>
                <w:color w:val="auto"/>
              </w:rPr>
            </w:pPr>
            <w:r>
              <w:rPr>
                <w:rFonts w:ascii="Arial" w:cs="Arial" w:eastAsia="Arial" w:hAnsi="Arial"/>
                <w:sz w:val="15"/>
                <w:szCs w:val="15"/>
                <w:b w:val="1"/>
                <w:bCs w:val="1"/>
                <w:color w:val="auto"/>
              </w:rPr>
              <w:t>Supplemental disclosures of cash flow information:</w:t>
            </w:r>
          </w:p>
        </w:tc>
        <w:tc>
          <w:tcPr>
            <w:tcW w:w="10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162"/>
        </w:trPr>
        <w:tc>
          <w:tcPr>
            <w:tcW w:w="724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Cash paid for interest</w:t>
            </w:r>
          </w:p>
        </w:tc>
        <w:tc>
          <w:tcPr>
            <w:tcW w:w="122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12,588</w:t>
            </w:r>
          </w:p>
        </w:tc>
        <w:tc>
          <w:tcPr>
            <w:tcW w:w="420" w:type="dxa"/>
            <w:vAlign w:val="bottom"/>
            <w:gridSpan w:val="2"/>
            <w:shd w:val="clear" w:color="auto" w:fill="CFF0FC"/>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1,824</w:t>
            </w:r>
          </w:p>
        </w:tc>
      </w:tr>
      <w:tr>
        <w:trPr>
          <w:trHeight w:val="162"/>
        </w:trPr>
        <w:tc>
          <w:tcPr>
            <w:tcW w:w="7240" w:type="dxa"/>
            <w:vAlign w:val="bottom"/>
          </w:tcPr>
          <w:p>
            <w:pPr>
              <w:ind w:left="160"/>
              <w:spacing w:after="0" w:line="162" w:lineRule="exact"/>
              <w:rPr>
                <w:sz w:val="20"/>
                <w:szCs w:val="20"/>
                <w:color w:val="auto"/>
              </w:rPr>
            </w:pPr>
            <w:r>
              <w:rPr>
                <w:rFonts w:ascii="Arial" w:cs="Arial" w:eastAsia="Arial" w:hAnsi="Arial"/>
                <w:sz w:val="15"/>
                <w:szCs w:val="15"/>
                <w:color w:val="auto"/>
              </w:rPr>
              <w:t>Transfer from property and equipment to other non-current assets</w:t>
            </w:r>
          </w:p>
        </w:tc>
        <w:tc>
          <w:tcPr>
            <w:tcW w:w="12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18,790</w:t>
            </w:r>
          </w:p>
        </w:tc>
        <w:tc>
          <w:tcPr>
            <w:tcW w:w="4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r>
      <w:tr>
        <w:trPr>
          <w:trHeight w:val="162"/>
        </w:trPr>
        <w:tc>
          <w:tcPr>
            <w:tcW w:w="7240" w:type="dxa"/>
            <w:vAlign w:val="bottom"/>
            <w:tcBorders>
              <w:bottom w:val="single" w:sz="8" w:color="auto"/>
            </w:tcBorders>
            <w:shd w:val="clear" w:color="auto" w:fill="CFF0FC"/>
          </w:tcPr>
          <w:p>
            <w:pPr>
              <w:ind w:left="160"/>
              <w:spacing w:after="0" w:line="162" w:lineRule="exact"/>
              <w:rPr>
                <w:sz w:val="20"/>
                <w:szCs w:val="20"/>
                <w:color w:val="auto"/>
              </w:rPr>
            </w:pPr>
            <w:r>
              <w:rPr>
                <w:rFonts w:ascii="Arial" w:cs="Arial" w:eastAsia="Arial" w:hAnsi="Arial"/>
                <w:sz w:val="15"/>
                <w:szCs w:val="15"/>
                <w:color w:val="auto"/>
              </w:rPr>
              <w:t>Right-of-use assets acquired under operating leases</w:t>
            </w:r>
          </w:p>
        </w:tc>
        <w:tc>
          <w:tcPr>
            <w:tcW w:w="1220" w:type="dxa"/>
            <w:vAlign w:val="bottom"/>
            <w:tcBorders>
              <w:bottom w:val="single" w:sz="8" w:color="auto"/>
            </w:tcBorders>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1,580</w:t>
            </w:r>
          </w:p>
        </w:tc>
        <w:tc>
          <w:tcPr>
            <w:tcW w:w="420" w:type="dxa"/>
            <w:vAlign w:val="bottom"/>
            <w:tcBorders>
              <w:bottom w:val="single" w:sz="8" w:color="auto"/>
            </w:tcBorders>
            <w:gridSpan w:val="2"/>
            <w:shd w:val="clear" w:color="auto" w:fill="CFF0FC"/>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-2536825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-1910715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-864870</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-427990</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Dyne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Basis of Presentation</w:t>
      </w:r>
    </w:p>
    <w:p>
      <w:pPr>
        <w:spacing w:after="0" w:line="1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Dyne Therapeutics, Inc. (the “Company”) is a clinical-stage neuromuscular disease company focused on delivering functional improvement for people living with genetically driven neuromuscular diseases. The Company was incorporated in Delaware on December 1, 2017, and has a principal place of business in Waltham, Massachusetts.</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Company is subject to risks and uncertainties common to clinical-stage companies in the biotechnology industry, including, but not limited to, development by competitors of new technological innovations, dependence on key personnel, protection of proprietary technology, risks of failure of preclinical studies and clinical trials, the need to obtain marketing approval for its product candidates, fluctuations in operating results, compliance with government regulations, the ability to establish clinical- and commercial-scale manufacturing processes and the ability to secure additional capital to fund operations. Product candidates and programs currently under development require significant research and development efforts, including extensive preclinical and clinical testing and regulatory approval prior to commercialization. These efforts require significant amounts of capital, adequate personnel and infrastructure and extensive compliance-reporting capabilities. Even if the Company’s development efforts are successful and product candidates receive regulatory approval, it is uncertain when, if ever, the Company will realize significant revenue from product sales.</w:t>
      </w:r>
    </w:p>
    <w:p>
      <w:pPr>
        <w:spacing w:after="0" w:line="17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accompanying condensed consolidated financial statements have been prepared on the basis of continuity of operations, realization of assets and the satisfaction of liabilities and commitments in the ordinary course of business. Since inception, the Company has funded its operations with proceeds from the sales of equity securities, and its term loan with Hercules Capital, Inc. (“Hercules”). The Company expects to continue to generate operating losses for the foreseeable future. The Company expects that its cash, cash equivalents, and marketable securities will be sufficient to fund its operating expenses, debt service obligations and capital expenditure requirements for at least 12 months from the issuance of these condensed consolidated financial statements.</w:t>
      </w:r>
    </w:p>
    <w:p>
      <w:pPr>
        <w:spacing w:after="0" w:line="16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To continue its development efforts, the Company will need to obtain substantial additional funding through public or private equity offerings, debt financings, collaborations, strategic alliances and/or licensing arrangements in order to fund its research and development and ongoing operating expenses. The Company may not be able to obtain financing on acceptable terms, when needed or at all, and the Company may not be able to enter into collaborations, strategic alliances or licensing arrangements. The terms of any financing may adversely affect the holdings or the rights of the Company’s stockholders. Any collaborations, strategic alliances or licensing arrangements may require the Company to relinquish rights to certain of its technologies, future revenue streams, research programs or product candidates or grant</w:t>
      </w:r>
    </w:p>
    <w:p>
      <w:pPr>
        <w:spacing w:after="0" w:line="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licenses on terms that may not be favorable to the Company. If the Company is unable to obtain funding, the Company could be forced to delay, limit, reduce or eliminate some or all of its research and development programs, pipeline expansion or future commercialization efforts or grant rights to develop and market product candidates, which could adversely affect its business prospects. Although management will continue to pursue these plans, there is no assurance that the Company will be successful in obtaining sufficient funding on terms acceptable to the Company to fund continuing operations when needed or at all.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the Company’s wholly-owned subsidiary, Dyne Therapeutics Securities Corporation. Intercompany balances and transactions have been eliminated in consolidation. The accompanying condensed consolidated financial statements have been prepared in conformity with generally accepted accounting principles (“GAAP”) in the United States of America. Any reference in these notes to applicable guidance is meant to refer to the authoritative GAAP as found in the Accounting Standards Codification (“ASC”) and Accounting Standards Update (“ASU”) of the Financial Accounting Standards Board (“FASB”).</w:t>
      </w:r>
    </w:p>
    <w:p>
      <w:pPr>
        <w:spacing w:after="0" w:line="13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financial statements of the Company included herein have been prepared, without audit, pursuant to the rules and regulations of the Securities and Exchange Commission (the “SEC”). The unaudited interim financial statements have been prepared on the same basis as audited annual financial statements, except certain information and footnote disclosures normally included in financial statements prepared in accordance with GAAP have been condensed or omitted from this report, as is permitted by such rules and regulations. In the opinion of management, the interim financial information reflects all adjustments, all of which are of a normal and recurring nature, necessary for a fair representation of the results for the reported periods. Accordingly, these financial statements should be read in conjunction with the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right="140"/>
        <w:spacing w:after="0" w:line="253" w:lineRule="auto"/>
        <w:rPr>
          <w:sz w:val="20"/>
          <w:szCs w:val="20"/>
          <w:color w:val="auto"/>
        </w:rPr>
      </w:pPr>
      <w:r>
        <w:rPr>
          <w:rFonts w:ascii="Arial" w:cs="Arial" w:eastAsia="Arial" w:hAnsi="Arial"/>
          <w:sz w:val="18"/>
          <w:szCs w:val="18"/>
          <w:color w:val="auto"/>
        </w:rPr>
        <w:t>financial statements and notes thereto included in the Company’s Annual Report on Form 10-K filed with the SEC on March 2, 2026. The results for the three and nine months ended September 30, 2026 are not necessarily indicative of results to be expected for the year ending December 31, 2026, any other interim periods, or any future year or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Certain assets and liabilities are carried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8" w:lineRule="exact"/>
        <w:rPr>
          <w:sz w:val="20"/>
          <w:szCs w:val="20"/>
          <w:color w:val="auto"/>
        </w:rPr>
      </w:pPr>
    </w:p>
    <w:p>
      <w:pPr>
        <w:ind w:left="1020" w:right="4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1—Unadjusted quoted prices in active markets that are accessible to the reporting entity at the measurement date for identical assets and liabilities.</w:t>
      </w:r>
    </w:p>
    <w:p>
      <w:pPr>
        <w:spacing w:after="0" w:line="4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2—Inputs other than quoted prices in active markets for identical assets and liabilities that are observable either directly or indirectly for substantially the full term of the asset or liability. Level 2 inputs include the following:</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quoted prices for similar assets and liabilities in active markets;</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16" w:lineRule="exact"/>
        <w:rPr>
          <w:rFonts w:ascii="Times New Roman" w:cs="Times New Roman" w:eastAsia="Times New Roman" w:hAnsi="Times New Roman"/>
          <w:sz w:val="18"/>
          <w:szCs w:val="18"/>
          <w:color w:val="auto"/>
        </w:rPr>
      </w:pPr>
    </w:p>
    <w:p>
      <w:pPr>
        <w:ind w:left="1540" w:right="220" w:hanging="514"/>
        <w:spacing w:after="0" w:line="270" w:lineRule="auto"/>
        <w:tabs>
          <w:tab w:leader="none" w:pos="15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observable inputs other than quoted prices that are used in the valuation of the asset or liabilities (e.g., interest rate and yield curve quotes at commonly quoted intervals); and</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16" w:lineRule="exact"/>
        <w:rPr>
          <w:rFonts w:ascii="Times New Roman" w:cs="Times New Roman" w:eastAsia="Times New Roman" w:hAnsi="Times New Roman"/>
          <w:sz w:val="18"/>
          <w:szCs w:val="18"/>
          <w:color w:val="auto"/>
        </w:rPr>
      </w:pPr>
    </w:p>
    <w:p>
      <w:pPr>
        <w:jc w:val="both"/>
        <w:ind w:left="1020" w:right="56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3—Unobservable inputs for the asset or liability (i.e., supported by little or no market activity). Level 3 inputs include management’s own assumptions about the assumptions that market participants would use in pricing the asset or liability (including assumptions about risk).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Basic net loss per share is computed by dividing the net loss by the weighted average number of shares of common stock outstanding for the period. Diluted net loss is computed by adjusting net loss to reallocate undistributed earnings based on the potential impact of dilutive securities. Diluted net loss per share is computed by dividing the diluted net loss by the weighted average number of shares of common stock outstanding for the period, including potential dilutive common shares assuming the dilutive effect of common stock equivalents.</w:t>
      </w:r>
    </w:p>
    <w:p>
      <w:pPr>
        <w:spacing w:after="0" w:line="160"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for the periods indicated because including them would have had an anti-dilutive effect: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840" w:type="dxa"/>
            <w:vAlign w:val="bottom"/>
            <w:tcBorders>
              <w:bottom w:val="single" w:sz="8" w:color="auto"/>
            </w:tcBorders>
            <w:gridSpan w:val="3"/>
          </w:tcPr>
          <w:p>
            <w:pPr>
              <w:ind w:left="162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tcBorders>
              <w:bottom w:val="single" w:sz="8" w:color="auto"/>
            </w:tcBorders>
          </w:tcPr>
          <w:p>
            <w:pPr>
              <w:spacing w:after="0"/>
              <w:rPr>
                <w:sz w:val="14"/>
                <w:szCs w:val="14"/>
                <w:color w:val="auto"/>
              </w:rPr>
            </w:pPr>
          </w:p>
        </w:tc>
      </w:tr>
      <w:tr>
        <w:trPr>
          <w:trHeight w:val="155"/>
        </w:trPr>
        <w:tc>
          <w:tcPr>
            <w:tcW w:w="69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857"/>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75"/>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210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13,775,313</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9,649,402</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21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4,171,792</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2,591,337</w:t>
            </w:r>
          </w:p>
        </w:tc>
      </w:tr>
      <w:tr>
        <w:trPr>
          <w:trHeight w:val="196"/>
        </w:trPr>
        <w:tc>
          <w:tcPr>
            <w:tcW w:w="69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17,947,105</w:t>
            </w: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12,240,739</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(Topic 220-40) </w:t>
      </w:r>
      <w:r>
        <w:rPr>
          <w:rFonts w:ascii="Arial" w:cs="Arial" w:eastAsia="Arial" w:hAnsi="Arial"/>
          <w:sz w:val="18"/>
          <w:szCs w:val="18"/>
          <w:color w:val="auto"/>
        </w:rPr>
        <w:t>("ASU 2024-03"). The amendments in this update require new disclosures to disaggregate prescribed natural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underlying any income statement caption. ASU 2024-03 is effective for annual periods in fiscal years beginning after December 15, 2026, and interim periods thereafter. Early adoption is permitted. ASU 2024-03 applies on a prospective basis for periods beginning after the effective date. However, retrospective application to any or all prior periods presented is permitted. The Company is currently assessing the impact ASU 2024-03 will have on the condensed consolidated financial statements and disclosures.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Cash, Cash Equivalents and Restricted Cash</w:t>
      </w:r>
    </w:p>
    <w:p>
      <w:pPr>
        <w:spacing w:after="0" w:line="11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Cash includes cash in readily available checking accounts and cash equivalents include money market funds that invest in U.S. Treasury securities and all highly liquid investments maturing within 90 days from the date of purchase.</w:t>
      </w:r>
    </w:p>
    <w:p>
      <w:pPr>
        <w:spacing w:after="0" w:line="127"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Amounts included in restricted cash represent amounts pledged as collateral for letters of credit required for security deposits on the Company’s leased facilities.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Borders>
              <w:bottom w:val="single" w:sz="8" w:color="auto"/>
            </w:tcBorders>
            <w:gridSpan w:val="5"/>
          </w:tcPr>
          <w:p>
            <w:pPr>
              <w:jc w:val="right"/>
              <w:ind w:right="282"/>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120" w:type="dxa"/>
            <w:vAlign w:val="bottom"/>
            <w:tcBorders>
              <w:bottom w:val="single" w:sz="8" w:color="auto"/>
            </w:tcBorders>
            <w:vMerge w:val="continue"/>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w w:val="96"/>
              </w:rPr>
              <w:t>2026</w:t>
            </w: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center"/>
              <w:ind w:right="36"/>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gridSpan w:val="4"/>
            <w:shd w:val="clear" w:color="auto" w:fill="CFF0FC"/>
          </w:tcPr>
          <w:p>
            <w:pPr>
              <w:jc w:val="right"/>
              <w:ind w:right="2"/>
              <w:spacing w:after="0" w:line="196" w:lineRule="exact"/>
              <w:rPr>
                <w:sz w:val="20"/>
                <w:szCs w:val="20"/>
                <w:color w:val="auto"/>
              </w:rPr>
            </w:pPr>
            <w:r>
              <w:rPr>
                <w:rFonts w:ascii="Arial" w:cs="Arial" w:eastAsia="Arial" w:hAnsi="Arial"/>
                <w:sz w:val="18"/>
                <w:szCs w:val="18"/>
                <w:color w:val="auto"/>
              </w:rPr>
              <w:t>913,203</w:t>
            </w:r>
          </w:p>
        </w:tc>
        <w:tc>
          <w:tcPr>
            <w:tcW w:w="480" w:type="dxa"/>
            <w:vAlign w:val="bottom"/>
            <w:gridSpan w:val="3"/>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893,369</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
              <w:spacing w:after="0" w:line="202" w:lineRule="exact"/>
              <w:rPr>
                <w:sz w:val="20"/>
                <w:szCs w:val="20"/>
                <w:color w:val="auto"/>
              </w:rPr>
            </w:pPr>
            <w:r>
              <w:rPr>
                <w:rFonts w:ascii="Arial" w:cs="Arial" w:eastAsia="Arial" w:hAnsi="Arial"/>
                <w:sz w:val="18"/>
                <w:szCs w:val="18"/>
                <w:color w:val="auto"/>
              </w:rPr>
              <w:t>4,637</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gridSpan w:val="2"/>
            <w:shd w:val="clear" w:color="auto" w:fill="CFF0FC"/>
          </w:tcPr>
          <w:p>
            <w:pPr>
              <w:jc w:val="center"/>
              <w:ind w:right="36"/>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4"/>
            <w:shd w:val="clear" w:color="auto" w:fill="CFF0FC"/>
          </w:tcPr>
          <w:p>
            <w:pPr>
              <w:jc w:val="right"/>
              <w:ind w:right="2"/>
              <w:spacing w:after="0" w:line="196" w:lineRule="exact"/>
              <w:rPr>
                <w:sz w:val="20"/>
                <w:szCs w:val="20"/>
                <w:color w:val="auto"/>
              </w:rPr>
            </w:pPr>
            <w:r>
              <w:rPr>
                <w:rFonts w:ascii="Arial" w:cs="Arial" w:eastAsia="Arial" w:hAnsi="Arial"/>
                <w:sz w:val="18"/>
                <w:szCs w:val="18"/>
                <w:color w:val="auto"/>
              </w:rPr>
              <w:t>917,840</w:t>
            </w:r>
          </w:p>
        </w:tc>
        <w:tc>
          <w:tcPr>
            <w:tcW w:w="480" w:type="dxa"/>
            <w:vAlign w:val="bottom"/>
            <w:tcBorders>
              <w:bottom w:val="single" w:sz="8" w:color="auto"/>
            </w:tcBorders>
            <w:gridSpan w:val="3"/>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895,740</w:t>
            </w:r>
          </w:p>
        </w:tc>
        <w:tc>
          <w:tcPr>
            <w:tcW w:w="0" w:type="dxa"/>
            <w:vAlign w:val="bottom"/>
          </w:tcPr>
          <w:p>
            <w:pPr>
              <w:spacing w:after="0"/>
              <w:rPr>
                <w:sz w:val="1"/>
                <w:szCs w:val="1"/>
                <w:color w:val="auto"/>
              </w:rPr>
            </w:pPr>
          </w:p>
        </w:tc>
      </w:tr>
      <w:tr>
        <w:trPr>
          <w:trHeight w:val="438"/>
        </w:trPr>
        <w:tc>
          <w:tcPr>
            <w:tcW w:w="4120" w:type="dxa"/>
            <w:vAlign w:val="bottom"/>
          </w:tcPr>
          <w:p>
            <w:pPr>
              <w:spacing w:after="0"/>
              <w:rPr>
                <w:sz w:val="20"/>
                <w:szCs w:val="20"/>
                <w:color w:val="auto"/>
              </w:rPr>
            </w:pPr>
            <w:r>
              <w:rPr>
                <w:rFonts w:ascii="Arial" w:cs="Arial" w:eastAsia="Arial" w:hAnsi="Arial"/>
                <w:sz w:val="18"/>
                <w:szCs w:val="18"/>
                <w:b w:val="1"/>
                <w:bCs w:val="1"/>
                <w:color w:val="auto"/>
              </w:rPr>
              <w:t>4. Fair Value Measurements</w:t>
            </w: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100" w:type="dxa"/>
            <w:vAlign w:val="bottom"/>
            <w:gridSpan w:val="4"/>
          </w:tcPr>
          <w:p>
            <w:pPr>
              <w:spacing w:after="0"/>
              <w:rPr>
                <w:sz w:val="20"/>
                <w:szCs w:val="20"/>
                <w:color w:val="auto"/>
              </w:rPr>
            </w:pPr>
            <w:r>
              <w:rPr>
                <w:rFonts w:ascii="Arial" w:cs="Arial" w:eastAsia="Arial" w:hAnsi="Arial"/>
                <w:sz w:val="18"/>
                <w:szCs w:val="18"/>
                <w:color w:val="auto"/>
              </w:rPr>
              <w:t>The following tables set forth marketable securities for the periods presented: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September 30, 2026</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5"/>
              <w:spacing w:after="0" w:line="147"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56"/>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56"/>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Commercial paper</w:t>
            </w: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27,624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80" w:type="dxa"/>
            <w:vAlign w:val="bottom"/>
            <w:gridSpan w:val="3"/>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27,561</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Corporate debt securities</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157,056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w w:val="99"/>
              </w:rPr>
              <w:t>(749)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156,317</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Certificates of deposit</w:t>
            </w: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10,122</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8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U.S. Treasury notes</w:t>
            </w:r>
          </w:p>
        </w:tc>
        <w:tc>
          <w:tcPr>
            <w:tcW w:w="1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27,384</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40"/>
              <w:spacing w:after="0" w:line="202" w:lineRule="exact"/>
              <w:rPr>
                <w:sz w:val="20"/>
                <w:szCs w:val="20"/>
                <w:color w:val="auto"/>
              </w:rPr>
            </w:pPr>
            <w:r>
              <w:rPr>
                <w:rFonts w:ascii="Arial" w:cs="Arial" w:eastAsia="Arial" w:hAnsi="Arial"/>
                <w:sz w:val="18"/>
                <w:szCs w:val="18"/>
                <w:color w:val="auto"/>
                <w:w w:val="99"/>
              </w:rPr>
              <w:t>(177)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27,207</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222,186</w:t>
            </w:r>
          </w:p>
        </w:tc>
        <w:tc>
          <w:tcPr>
            <w:tcW w:w="280" w:type="dxa"/>
            <w:vAlign w:val="bottom"/>
            <w:tcBorders>
              <w:bottom w:val="single" w:sz="8" w:color="auto"/>
            </w:tcBorders>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w:t>
            </w:r>
          </w:p>
        </w:tc>
        <w:tc>
          <w:tcPr>
            <w:tcW w:w="400" w:type="dxa"/>
            <w:vAlign w:val="bottom"/>
            <w:tcBorders>
              <w:bottom w:val="single" w:sz="8" w:color="auto"/>
            </w:tcBorders>
            <w:gridSpan w:val="3"/>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4"/>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(1,014)</w:t>
            </w:r>
          </w:p>
        </w:tc>
        <w:tc>
          <w:tcPr>
            <w:tcW w:w="280" w:type="dxa"/>
            <w:vAlign w:val="bottom"/>
            <w:tcBorders>
              <w:bottom w:val="single" w:sz="8" w:color="auto"/>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221,183</w:t>
            </w:r>
          </w:p>
        </w:tc>
        <w:tc>
          <w:tcPr>
            <w:tcW w:w="0" w:type="dxa"/>
            <w:vAlign w:val="bottom"/>
          </w:tcPr>
          <w:p>
            <w:pPr>
              <w:spacing w:after="0"/>
              <w:rPr>
                <w:sz w:val="1"/>
                <w:szCs w:val="1"/>
                <w:color w:val="auto"/>
              </w:rPr>
            </w:pPr>
          </w:p>
        </w:tc>
      </w:tr>
      <w:tr>
        <w:trPr>
          <w:trHeight w:val="358"/>
        </w:trPr>
        <w:tc>
          <w:tcPr>
            <w:tcW w:w="4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2025</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5"/>
              <w:spacing w:after="0" w:line="147"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56"/>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56"/>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Commercial paper</w:t>
            </w: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7,736</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7,744</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Corporate debt securities</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175,401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175,738</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Certificates of deposit</w:t>
            </w: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10,181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U.S. Treasury notes</w:t>
            </w:r>
          </w:p>
        </w:tc>
        <w:tc>
          <w:tcPr>
            <w:tcW w:w="1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23,400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121</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216,718</w:t>
            </w:r>
          </w:p>
        </w:tc>
        <w:tc>
          <w:tcPr>
            <w:tcW w:w="280" w:type="dxa"/>
            <w:vAlign w:val="bottom"/>
            <w:tcBorders>
              <w:bottom w:val="single" w:sz="8" w:color="auto"/>
            </w:tcBorders>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481</w:t>
            </w:r>
          </w:p>
        </w:tc>
        <w:tc>
          <w:tcPr>
            <w:tcW w:w="400" w:type="dxa"/>
            <w:vAlign w:val="bottom"/>
            <w:tcBorders>
              <w:bottom w:val="single" w:sz="8" w:color="auto"/>
            </w:tcBorders>
            <w:gridSpan w:val="3"/>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gridSpan w:val="3"/>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217,193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The following tables set forth by level, within the fair value hierarchy (see Note 2), the assets carried at fair value on a recurring basis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Fair Value Measurements as of September 30, 2026</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Borders>
              <w:bottom w:val="single" w:sz="8" w:color="auto"/>
            </w:tcBorders>
            <w:vMerge w:val="continue"/>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1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222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30,912</w:t>
            </w:r>
          </w:p>
        </w:tc>
        <w:tc>
          <w:tcPr>
            <w:tcW w:w="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30,912</w:t>
            </w: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27,561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27,561</w:t>
            </w:r>
          </w:p>
        </w:tc>
        <w:tc>
          <w:tcPr>
            <w:tcW w:w="0" w:type="dxa"/>
            <w:vAlign w:val="bottom"/>
          </w:tcPr>
          <w:p>
            <w:pPr>
              <w:spacing w:after="0"/>
              <w:rPr>
                <w:sz w:val="1"/>
                <w:szCs w:val="1"/>
                <w:color w:val="auto"/>
              </w:rPr>
            </w:pPr>
          </w:p>
        </w:tc>
      </w:tr>
      <w:tr>
        <w:trPr>
          <w:trHeight w:val="203"/>
        </w:trPr>
        <w:tc>
          <w:tcPr>
            <w:tcW w:w="3840" w:type="dxa"/>
            <w:vAlign w:val="bottom"/>
          </w:tcPr>
          <w:p>
            <w:pPr>
              <w:ind w:left="160"/>
              <w:spacing w:after="0" w:line="202" w:lineRule="exact"/>
              <w:rPr>
                <w:sz w:val="20"/>
                <w:szCs w:val="20"/>
                <w:color w:val="auto"/>
              </w:rPr>
            </w:pPr>
            <w:r>
              <w:rPr>
                <w:rFonts w:ascii="Arial" w:cs="Arial" w:eastAsia="Arial" w:hAnsi="Arial"/>
                <w:sz w:val="18"/>
                <w:szCs w:val="18"/>
                <w:color w:val="auto"/>
              </w:rPr>
              <w:t>Corporate debt securities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156,317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156,317</w:t>
            </w:r>
          </w:p>
        </w:tc>
        <w:tc>
          <w:tcPr>
            <w:tcW w:w="0" w:type="dxa"/>
            <w:vAlign w:val="bottom"/>
          </w:tcPr>
          <w:p>
            <w:pPr>
              <w:spacing w:after="0"/>
              <w:rPr>
                <w:sz w:val="1"/>
                <w:szCs w:val="1"/>
                <w:color w:val="auto"/>
              </w:rPr>
            </w:pPr>
          </w:p>
        </w:tc>
      </w:tr>
      <w:tr>
        <w:trPr>
          <w:trHeight w:val="203"/>
        </w:trPr>
        <w:tc>
          <w:tcPr>
            <w:tcW w:w="38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Certificates of deposit</w:t>
            </w:r>
          </w:p>
        </w:tc>
        <w:tc>
          <w:tcPr>
            <w:tcW w:w="1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10,098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03"/>
        </w:trPr>
        <w:tc>
          <w:tcPr>
            <w:tcW w:w="3840" w:type="dxa"/>
            <w:vAlign w:val="bottom"/>
          </w:tcPr>
          <w:p>
            <w:pPr>
              <w:ind w:left="160"/>
              <w:spacing w:after="0" w:line="202" w:lineRule="exact"/>
              <w:rPr>
                <w:sz w:val="20"/>
                <w:szCs w:val="20"/>
                <w:color w:val="auto"/>
              </w:rPr>
            </w:pPr>
            <w:r>
              <w:rPr>
                <w:rFonts w:ascii="Arial" w:cs="Arial" w:eastAsia="Arial" w:hAnsi="Arial"/>
                <w:sz w:val="18"/>
                <w:szCs w:val="18"/>
                <w:color w:val="auto"/>
              </w:rPr>
              <w:t>U.S. Treasury notes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27,207</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27,207</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gridSpan w:val="3"/>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58,119</w:t>
            </w:r>
          </w:p>
        </w:tc>
        <w:tc>
          <w:tcPr>
            <w:tcW w:w="34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193,976</w:t>
            </w:r>
          </w:p>
        </w:tc>
        <w:tc>
          <w:tcPr>
            <w:tcW w:w="340" w:type="dxa"/>
            <w:vAlign w:val="bottom"/>
            <w:tcBorders>
              <w:bottom w:val="single" w:sz="8" w:color="auto"/>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252,095</w:t>
            </w:r>
          </w:p>
        </w:tc>
        <w:tc>
          <w:tcPr>
            <w:tcW w:w="0" w:type="dxa"/>
            <w:vAlign w:val="bottom"/>
          </w:tcPr>
          <w:p>
            <w:pPr>
              <w:spacing w:after="0"/>
              <w:rPr>
                <w:sz w:val="1"/>
                <w:szCs w:val="1"/>
                <w:color w:val="auto"/>
              </w:rPr>
            </w:pPr>
          </w:p>
        </w:tc>
      </w:tr>
      <w:tr>
        <w:trPr>
          <w:trHeight w:val="808"/>
        </w:trPr>
        <w:tc>
          <w:tcPr>
            <w:tcW w:w="3840" w:type="dxa"/>
            <w:vAlign w:val="bottom"/>
          </w:tcPr>
          <w:p>
            <w:pPr>
              <w:spacing w:after="0"/>
              <w:rPr>
                <w:sz w:val="24"/>
                <w:szCs w:val="24"/>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38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rPr>
              <w:t>Fair Value Measurements as of December 31, 2025</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278,133</w:t>
            </w:r>
          </w:p>
        </w:tc>
        <w:tc>
          <w:tcPr>
            <w:tcW w:w="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278,133</w:t>
            </w: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7,744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7,744</w:t>
            </w:r>
          </w:p>
        </w:tc>
        <w:tc>
          <w:tcPr>
            <w:tcW w:w="0" w:type="dxa"/>
            <w:vAlign w:val="bottom"/>
          </w:tcPr>
          <w:p>
            <w:pPr>
              <w:spacing w:after="0"/>
              <w:rPr>
                <w:sz w:val="1"/>
                <w:szCs w:val="1"/>
                <w:color w:val="auto"/>
              </w:rPr>
            </w:pPr>
          </w:p>
        </w:tc>
      </w:tr>
      <w:tr>
        <w:trPr>
          <w:trHeight w:val="203"/>
        </w:trPr>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175,738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175,738</w:t>
            </w: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10,190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03"/>
        </w:trPr>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U.S. Treasury notes</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23,521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7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301,654</w:t>
            </w:r>
          </w:p>
        </w:tc>
        <w:tc>
          <w:tcPr>
            <w:tcW w:w="34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193,672</w:t>
            </w:r>
          </w:p>
        </w:tc>
        <w:tc>
          <w:tcPr>
            <w:tcW w:w="340" w:type="dxa"/>
            <w:vAlign w:val="bottom"/>
            <w:tcBorders>
              <w:bottom w:val="single" w:sz="8" w:color="auto"/>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495,326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fair value of U.S. government Treasury notes and money market funds were determined by the Company based on quoted market prices, which represent a Level 1 measurement within the fair value hierarchy. Commercial paper, certificates of deposit, and corporate debt securities were valued by the Company using quoted prices in active markets for similar securities, which represent a Level 2 measurement within the fair value hierarchy.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periods presented.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scheduled maturity for the Company's marketable securities for the periods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September 30, 2026</w:t>
            </w: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Maturing in one year or less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143,968</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Maturing after one year through two years</w:t>
            </w:r>
          </w:p>
        </w:tc>
        <w:tc>
          <w:tcPr>
            <w:tcW w:w="180" w:type="dxa"/>
            <w:vAlign w:val="bottom"/>
          </w:tcPr>
          <w:p>
            <w:pPr>
              <w:spacing w:after="0"/>
              <w:rPr>
                <w:sz w:val="17"/>
                <w:szCs w:val="17"/>
                <w:color w:val="auto"/>
              </w:rPr>
            </w:pPr>
          </w:p>
        </w:tc>
        <w:tc>
          <w:tcPr>
            <w:tcW w:w="1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77,215</w:t>
            </w:r>
          </w:p>
        </w:tc>
      </w:tr>
      <w:tr>
        <w:trPr>
          <w:trHeight w:val="203"/>
        </w:trPr>
        <w:tc>
          <w:tcPr>
            <w:tcW w:w="9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Maturing after two years</w:t>
            </w:r>
          </w:p>
        </w:tc>
        <w:tc>
          <w:tcPr>
            <w:tcW w:w="18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r>
      <w:tr>
        <w:trPr>
          <w:trHeight w:val="196"/>
        </w:trPr>
        <w:tc>
          <w:tcPr>
            <w:tcW w:w="9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221,183</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w:t>
      </w:r>
    </w:p>
    <w:p>
      <w:pPr>
        <w:spacing w:after="0" w:line="1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carrying values of cash, cash equivalents, accounts payable and accrued expenses that are reported on the balance sheets approximate their fair value due to the short-term nature of these assets and liabilities. The carrying amounts of the Company's Term Loans under the Loan Agreement, each as defined in Note 7, approximate market rates currently available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Laboratory equipment</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11,654</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10,897</w:t>
            </w: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Office and computer equipment</w:t>
            </w:r>
          </w:p>
        </w:tc>
        <w:tc>
          <w:tcPr>
            <w:tcW w:w="180" w:type="dxa"/>
            <w:vAlign w:val="bottom"/>
          </w:tcPr>
          <w:p>
            <w:pPr>
              <w:spacing w:after="0"/>
              <w:rPr>
                <w:sz w:val="17"/>
                <w:szCs w:val="17"/>
                <w:color w:val="auto"/>
              </w:rPr>
            </w:pP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2,912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Manufacturing equipment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2,944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19,305</w:t>
            </w: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equipment—at cost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17,510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32,750</w:t>
            </w: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(10,369)</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(8,721)</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equipment—net</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7,141</w:t>
            </w:r>
          </w:p>
        </w:tc>
        <w:tc>
          <w:tcPr>
            <w:tcW w:w="36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24,029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of December 31, 2025, the Company was deemed to be the owner, for accounting purposes, of $18.8 million of long-lead equipment to be utilized for future manufacturing at a contract manufacturing organization ("CMO") facility recorded as Construction in process. During the third quarter of 2026, the Company entered into an amendment with the CMO that resulted in the Company no longer being the owner, for accounting purposes, of the long-lead equipment as of September 30, 2026, and the $18.8 million being recorded as other non-current assets. That sum is anticipated to be credited towards future batch manufacturing fees at the CMO to occur more than one year from the balance sheet date. Additionally, as of September 30, 2026, the Company was deemed to be the owner, for accounting purposes, of $2.9 million of manufacturing equipment currently utilized at a CMO facility recorded as Manufacturing equipment.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ind w:right="60"/>
        <w:spacing w:after="0" w:line="271" w:lineRule="auto"/>
        <w:rPr>
          <w:sz w:val="20"/>
          <w:szCs w:val="20"/>
          <w:color w:val="auto"/>
        </w:rPr>
      </w:pPr>
      <w:r>
        <w:rPr>
          <w:rFonts w:ascii="Arial" w:cs="Arial" w:eastAsia="Arial" w:hAnsi="Arial"/>
          <w:sz w:val="18"/>
          <w:szCs w:val="18"/>
          <w:color w:val="auto"/>
        </w:rPr>
        <w:t>Depreciation expense for the three and nine months ended September 30, 2026 was $0.6 million and $1.8 million, respectively. Depreciation expense for the three and nine months ended September 30, 2025 was $0.5 million and $1.5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Payroll and benefits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17,868</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17,097</w:t>
            </w: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Consulting services</w:t>
            </w:r>
          </w:p>
        </w:tc>
        <w:tc>
          <w:tcPr>
            <w:tcW w:w="180" w:type="dxa"/>
            <w:vAlign w:val="bottom"/>
          </w:tcPr>
          <w:p>
            <w:pPr>
              <w:spacing w:after="0"/>
              <w:rPr>
                <w:sz w:val="17"/>
                <w:szCs w:val="17"/>
                <w:color w:val="auto"/>
              </w:rPr>
            </w:pP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2,563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Legal services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936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7"/>
                <w:szCs w:val="17"/>
                <w:color w:val="auto"/>
              </w:rPr>
            </w:pP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21,099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17,085</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1,658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567</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44,691</w:t>
            </w:r>
          </w:p>
        </w:tc>
        <w:tc>
          <w:tcPr>
            <w:tcW w:w="36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37,548</w:t>
            </w: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30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June 27, 2025 (the “Closing Date”), the Company entered into a Loan and Security Agreement with Hercules (as subsequently amended, the "Loan Agreement"), in its capacity as administrative agent and collateral agent (the “Agent”) and as a lender, and certain other financial institutions that from time to time become parties to the Loan Agreement as lenders (collectively, the “Lenders”). On December 8, 2025, the Company entered into the First Amendment to the Loan Agreement with Hercules. On June 16, 2026, the Company entered into the Second Amendment to the Loan Agreement with Hercules. The Loan Agreement, as amended by the First Amendment and the Second Amendment, provides for term loans in an aggregate principal amount of up to $400.0 million under multiple tranches (the “Term Loans”), available as follows: (i) an initial term loan tranche funded on the Closing Date in aggregate principal amount of $100.0 million; (ii) subject to the achievement of specified clinical, regulatory and commercial milestones, and after the borrowing of the second term loan tranche of $50.0 million in December 2025 and third term loan tranche of $50.0 million in June 2026, three additional term loan tranches totaling up to $125.0 million; and (iii) subject to approval by the Lenders’ investment committee in their discretion, a final term loan tranche of up to $75.0 million.</w:t>
      </w:r>
    </w:p>
    <w:p>
      <w:pPr>
        <w:spacing w:after="0" w:line="16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All unpaid principal and accrued and unpaid interest with respect to the Term Loans is due and payable in full on July 1, 2030 (the “Maturity Date”). The outstanding principal balance of the Term Loans bears interest at a floating interest rate per annum equal to the Wall Street Journal prime rate, subject to a floor of 7.50%, plus 2.45%. Accrued interest on the outstanding Term Loans is payable monthly. The Company may make payments of interest only until July 1, 2029. The interest only period may be extended until the Maturity Date upon the achievement of specified clinical, regulatory and commercial milestones. At the end of the interest only period, the Company is required to begin repayment of the outstanding principal of the Term Loans in equal monthly installments (or, in a single installment, if the interest-only period has been extended to the Maturity Date).</w:t>
      </w:r>
    </w:p>
    <w:p>
      <w:pPr>
        <w:spacing w:after="0" w:line="171" w:lineRule="exact"/>
        <w:rPr>
          <w:sz w:val="20"/>
          <w:szCs w:val="20"/>
          <w:color w:val="auto"/>
        </w:rPr>
      </w:pPr>
    </w:p>
    <w:p>
      <w:pPr>
        <w:jc w:val="both"/>
        <w:ind w:right="400"/>
        <w:spacing w:after="0" w:line="253" w:lineRule="auto"/>
        <w:rPr>
          <w:sz w:val="20"/>
          <w:szCs w:val="20"/>
          <w:color w:val="auto"/>
        </w:rPr>
      </w:pPr>
      <w:r>
        <w:rPr>
          <w:rFonts w:ascii="Arial" w:cs="Arial" w:eastAsia="Arial" w:hAnsi="Arial"/>
          <w:sz w:val="18"/>
          <w:szCs w:val="18"/>
          <w:color w:val="auto"/>
        </w:rPr>
        <w:t>As collateral for the obligations under the Loan Agreement, the Company has granted to the Agent, for the benefit of the Lenders, a first-priority security interest in substantially all of its property, inclusive of intellectual property, subject to customary permitted liens and other exceptions set forth in the Loan Agreement.</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Loan Agreement contains customary representations and warranties, events of default and affirmative and negative covenants, including a minimum cash covenant (the “Minimum Cash Covenant”) requiring the Company to maintain specified levels of cash in accounts subject to a control agreement in favor of the Agent (“Qualified Cash”) during the period commencing on July 1, 2027. The Minimum Cash Covenant is set at 40% of the then outstanding principal balance of the Term Loans and is subject to adjustment and will not be tested at any time when the Company’s market capitalization is greater than $1.65 billion. The Company is also required to maintain minimum net product revenue from the sale of z-rostudirsen and z-basivarsen starting nine months after U.S. Food and Drug Administration approval of z-rostudirsen or z-basivarsen (the “Minimum Revenue Covenant”) if the outstanding principal balance of the Term Loans exceeds $100.0 million. The Minimum Revenue Covenant will not be tested for any month to the extent that for each day during such month either (i) Qualified Cash is at least 100% of the Company’s outstanding obligations under the Loan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4" w:name="page15"/>
    <w:bookmarkEnd w:id="14"/>
    <w:p>
      <w:pPr>
        <w:ind w:right="180"/>
        <w:spacing w:after="0" w:line="247" w:lineRule="auto"/>
        <w:rPr>
          <w:sz w:val="20"/>
          <w:szCs w:val="20"/>
          <w:color w:val="auto"/>
        </w:rPr>
      </w:pPr>
      <w:r>
        <w:rPr>
          <w:rFonts w:ascii="Arial" w:cs="Arial" w:eastAsia="Arial" w:hAnsi="Arial"/>
          <w:sz w:val="18"/>
          <w:szCs w:val="18"/>
          <w:color w:val="auto"/>
        </w:rPr>
        <w:t>Agreement or (ii) the Company’s market capitalization is greater than $1.65 billion and Qualified Cash is at least 50% of the Company’s outstanding obligations under the Loan Agreement. Certain negative covenants under the Loan Agreement limit the ability of the Company, among other things, to incur future debt, grant liens, make investments, make acquisitions, distribute dividends and sell assets, subject in each case to certain exceptions.</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Upon the occurrence of an event of default, including the failure by the Company to comply with the covenants under the Loan Agreement or the occurrence of a material adverse effect on the business, operations, properties, assets or financial condition of the Company, in each case subject to certain exceptions, and subject to any specified cure periods, all amounts owed by the Company under the Loan Agreement may be declared immediately due and payable by the Agent, and the Agent may foreclose on collateral.</w:t>
      </w:r>
    </w:p>
    <w:p>
      <w:pPr>
        <w:spacing w:after="0" w:line="16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Loan Agreement requires the Company to pay closing fees, prepayment penalties and an end-of-term charge equal to 5.5% of the amount of Term Loans borrowed, which amount is due at the earlier of prepayment or the Maturity Date. A prepayment penalty applies to any prepayment of the Term Loans prior to the Maturity Date equal to (i) 2.0% of the principal amount prepaid if the prepayment occurs on or prior to the first anniversary of the Closing Date, (ii) 1.5% of the principal amount prepaid if the prepayment occurs after the first anniversary and on or prior to the second anniversary of the Closing Date, and (iii) 0.75% of the principal amount prepaid if the prepayment occurs after the second anniversary through the day before the Maturity Date.</w:t>
      </w:r>
    </w:p>
    <w:p>
      <w:pPr>
        <w:spacing w:after="0" w:line="16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Unamortized debt discount and issuance costs were recorded as a reduction of the carrying amount on the Term Loans and are amortized as interest expense using the effective-interest method. The Company recorded total debt discount and debt issuance costs of $1.9 million as of September 30, 2026. The Company is accruing the end-of-term charge on its condensed consolidated balance sheet. During the three months ended September 30, 2026, the effective interest rate for the loan was 11.4%.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addition, debt issuance costs of $0.5 million were recorded in restricted cash and other assets as of September 30,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the carrying value of the Term Loans approximates its fair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under the Term Loans as of September 30, 2026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jc w:val="center"/>
              <w:ind w:right="474"/>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8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rPr>
              <w:t>2026</w:t>
            </w:r>
          </w:p>
        </w:tc>
      </w:tr>
      <w:tr>
        <w:trPr>
          <w:trHeight w:val="196"/>
        </w:trPr>
        <w:tc>
          <w:tcPr>
            <w:tcW w:w="8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Principal term loan balance</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200,000</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Unamortized debt discount and issuance costs</w:t>
            </w:r>
          </w:p>
        </w:tc>
        <w:tc>
          <w:tcPr>
            <w:tcW w:w="420" w:type="dxa"/>
            <w:vAlign w:val="bottom"/>
          </w:tcPr>
          <w:p>
            <w:pPr>
              <w:spacing w:after="0"/>
              <w:rPr>
                <w:sz w:val="17"/>
                <w:szCs w:val="17"/>
                <w:color w:val="auto"/>
              </w:rPr>
            </w:pP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(1,891)</w:t>
            </w:r>
          </w:p>
        </w:tc>
      </w:tr>
      <w:tr>
        <w:trPr>
          <w:trHeight w:val="203"/>
        </w:trPr>
        <w:tc>
          <w:tcPr>
            <w:tcW w:w="8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Accrued end of term fee</w:t>
            </w:r>
          </w:p>
        </w:tc>
        <w:tc>
          <w:tcPr>
            <w:tcW w:w="420" w:type="dxa"/>
            <w:vAlign w:val="bottom"/>
            <w:tcBorders>
              <w:bottom w:val="single" w:sz="8" w:color="auto"/>
            </w:tcBorders>
            <w:shd w:val="clear" w:color="auto" w:fill="CFF0FC"/>
          </w:tcPr>
          <w:p>
            <w:pPr>
              <w:spacing w:after="0"/>
              <w:rPr>
                <w:sz w:val="17"/>
                <w:szCs w:val="17"/>
                <w:color w:val="auto"/>
              </w:rPr>
            </w:pPr>
          </w:p>
        </w:tc>
        <w:tc>
          <w:tcPr>
            <w:tcW w:w="218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1,903</w:t>
            </w:r>
          </w:p>
        </w:tc>
      </w:tr>
      <w:tr>
        <w:trPr>
          <w:trHeight w:val="196"/>
        </w:trPr>
        <w:tc>
          <w:tcPr>
            <w:tcW w:w="8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Long-term debt, net</w:t>
            </w: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200,012</w:t>
            </w:r>
          </w:p>
        </w:tc>
      </w:tr>
      <w:tr>
        <w:trPr>
          <w:trHeight w:val="416"/>
        </w:trPr>
        <w:tc>
          <w:tcPr>
            <w:tcW w:w="8640" w:type="dxa"/>
            <w:vAlign w:val="bottom"/>
          </w:tcPr>
          <w:p>
            <w:pPr>
              <w:spacing w:after="0"/>
              <w:rPr>
                <w:sz w:val="20"/>
                <w:szCs w:val="20"/>
                <w:color w:val="auto"/>
              </w:rPr>
            </w:pPr>
            <w:r>
              <w:rPr>
                <w:rFonts w:ascii="Arial" w:cs="Arial" w:eastAsia="Arial" w:hAnsi="Arial"/>
                <w:sz w:val="18"/>
                <w:szCs w:val="18"/>
                <w:color w:val="auto"/>
              </w:rPr>
              <w:t>The annual principal payments due under the Term Loans as of September 30, 2026 were as follows:</w:t>
            </w: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01"/>
        </w:trPr>
        <w:tc>
          <w:tcPr>
            <w:tcW w:w="8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4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8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420" w:type="dxa"/>
            <w:vAlign w:val="bottom"/>
          </w:tcPr>
          <w:p>
            <w:pPr>
              <w:spacing w:after="0"/>
              <w:rPr>
                <w:sz w:val="17"/>
                <w:szCs w:val="17"/>
                <w:color w:val="auto"/>
              </w:rPr>
            </w:pPr>
          </w:p>
        </w:tc>
        <w:tc>
          <w:tcPr>
            <w:tcW w:w="21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420" w:type="dxa"/>
            <w:vAlign w:val="bottom"/>
            <w:shd w:val="clear" w:color="auto" w:fill="CFF0FC"/>
          </w:tcPr>
          <w:p>
            <w:pPr>
              <w:spacing w:after="0"/>
              <w:rPr>
                <w:sz w:val="17"/>
                <w:szCs w:val="17"/>
                <w:color w:val="auto"/>
              </w:rPr>
            </w:pPr>
          </w:p>
        </w:tc>
        <w:tc>
          <w:tcPr>
            <w:tcW w:w="218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420" w:type="dxa"/>
            <w:vAlign w:val="bottom"/>
          </w:tcPr>
          <w:p>
            <w:pPr>
              <w:spacing w:after="0"/>
              <w:rPr>
                <w:sz w:val="17"/>
                <w:szCs w:val="17"/>
                <w:color w:val="auto"/>
              </w:rPr>
            </w:pPr>
          </w:p>
        </w:tc>
        <w:tc>
          <w:tcPr>
            <w:tcW w:w="21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89,504</w:t>
            </w:r>
          </w:p>
        </w:tc>
      </w:tr>
      <w:tr>
        <w:trPr>
          <w:trHeight w:val="203"/>
        </w:trPr>
        <w:tc>
          <w:tcPr>
            <w:tcW w:w="8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420" w:type="dxa"/>
            <w:vAlign w:val="bottom"/>
            <w:tcBorders>
              <w:bottom w:val="single" w:sz="8" w:color="auto"/>
            </w:tcBorders>
            <w:shd w:val="clear" w:color="auto" w:fill="CFF0FC"/>
          </w:tcPr>
          <w:p>
            <w:pPr>
              <w:spacing w:after="0"/>
              <w:rPr>
                <w:sz w:val="17"/>
                <w:szCs w:val="17"/>
                <w:color w:val="auto"/>
              </w:rPr>
            </w:pPr>
          </w:p>
        </w:tc>
        <w:tc>
          <w:tcPr>
            <w:tcW w:w="218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110,496</w:t>
            </w:r>
          </w:p>
        </w:tc>
      </w:tr>
      <w:tr>
        <w:trPr>
          <w:trHeight w:val="196"/>
        </w:trPr>
        <w:tc>
          <w:tcPr>
            <w:tcW w:w="8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200,000</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of future principal payments excludes the end-of-term charge of 5.5% of the principal amount of the Term Loans borrowed, which is due upon the maturity of the Term Loans.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Financing Arrangement</w:t>
      </w:r>
    </w:p>
    <w:p>
      <w:pPr>
        <w:spacing w:after="0" w:line="10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Pursuant to an agreement with a vendor providing contract research and manufacturing services, the vendor has provided the Company with extended payment terms with respect to a portion of the services provided by the vendor. The Company has the option, at its discretion, to utilize the extended payment terms for a total of $49.0 million in applicable invoices. The outstanding invoices as to which the extended payment terms have been utilized bear interest at a fixed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ind w:right="100"/>
        <w:spacing w:after="0" w:line="271" w:lineRule="auto"/>
        <w:rPr>
          <w:sz w:val="20"/>
          <w:szCs w:val="20"/>
          <w:color w:val="auto"/>
        </w:rPr>
      </w:pPr>
      <w:r>
        <w:rPr>
          <w:rFonts w:ascii="Arial" w:cs="Arial" w:eastAsia="Arial" w:hAnsi="Arial"/>
          <w:sz w:val="18"/>
          <w:szCs w:val="18"/>
          <w:color w:val="auto"/>
        </w:rPr>
        <w:t>interest rate per annum of 5%. As of September 30, 2026, the outstanding principal plus accrued but unpaid interest were $25.4 million. The Company expects to pay all amounts outstanding under the vendor financing arrangement over the next 12 months.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November 2021, the Company entered into an Open Market Sale Agreement (the "Sales Agreement") with Jefferies LLC ("Jefferies") as the Company's sales agent. On March 5, 2024, the Company filed a universal shelf registration statement on Form S-3, (the “2024 Shelf Registration Statement”), and included a prospectus relating to the Sales Agreement. Under the 2024 Shelf Registration Statement, the Company may offer and sell debt securities, common stock, preferred stock, units and/or warrants from time to time at an indeterminate aggregate offering price in one or more offerings. In November 2024, the Company filed a prospectus supplement relating to the Sales Agreement, pursuant to which, in accordance with the Sales Agreement, the Company may offer and sell shares of its common stock having an aggregate offering price of up to $300.0 million in an “at-the-market” offering. During the nine months ended September 30, 2026, the Company did not issue or sell any shares of common stock pursuant to the Sales Agreement. On June 5, 2026, the Company's stockholders approved an amendment to the Company's certificate of incorporation to increase the number of authorized shares of common stock.</w:t>
      </w:r>
    </w:p>
    <w:p>
      <w:pPr>
        <w:spacing w:after="0" w:line="7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July 2026, the Company completed a follow-on public offering, pursuant to which the Company issued and sold 21,045,000 shares of common stock. Net proceeds from the offering were approximately $404.9 million, after deducting underwriting discounts and commissions and offering expenses payable by the Company.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400,000,000 shares were authorized, of which 187,328,238 were issued and outstanding.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Incentive Plan</w:t>
      </w:r>
    </w:p>
    <w:p>
      <w:pPr>
        <w:spacing w:after="0" w:line="19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August 2020, the Company’s board of directors adopted and the Company’s stockholders approved the 2020 Stock Incentive Plan (the "2020 Plan"), which became effective on September 16, 2020. The 2020 Plan provides for the grant of incentive stock options, nonstatutory stock options, stock appreciation rights, restricted stock awards, restricted stock units and other stock-based awards to employees, directors, consultants and advisors of the Company. The 2020 Plan is administered by the Company’s board of directors or by a committee appointed by the board of directors. Upon the effectiveness of the 2020 Plan, the Company ceased granting awards under the 2018 Stock Incentive Plan. The number of shares initially reserved for issuance under the 2020 Plan was 4,884,233. The number of shares of common stock reserved for issuance under the 2020 Plan may automatically increase on the first day of each fiscal year, beginning with the fiscal year commencing on January 1, 2021 and continuing for each fiscal year until, and including the fiscal year commencing on, January 1, 2030, in an amount equal to the lower of (1) 5% of the shares of common stock outstanding on such date and (2) an amount determined by the Company’s board of directors. On January 1, 2026, 8,247,527 shares were added to the shares reserved for issuance under the 2020 Plan in the sixth of these annual increases.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8,656,851 shares remained available for future issuance under the 2020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August 2020, the Company’s board of directors adopted and the Company’s stockholders approved the 2020 Employee Stock Purchase Plan (the “2020 ESPP”), which became effective September 16, 2020. The 2020 ESPP is administered by the Company’s board of directors or by a committee appointed by the board of directors. The 2020 ESPP initially provides participating employees with the opportunity to purchase up to an aggregate of 488,414 shares of common stock. The number of shares of common stock reserved for issuance under the 2020 ESPP may automatically increase on the first day of each fiscal year, beginning with the fiscal year commencing on January 1, 2021 and continuing for each fiscal year until, and including the fiscal year commencing on, January 1, 2030, in an amount equal to the least of (1) 1,953,656 shares of common stock, (2) 1% of the shares of common stock outstanding on such date, and (3) an amount determined by the board of directors.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no offering periods have commenced under the 2020 ESPP and 488,414 shares remained available for issuance.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2024 Inducement Stock Incentive Plan</w:t>
      </w:r>
    </w:p>
    <w:p>
      <w:pPr>
        <w:spacing w:after="0" w:line="10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March 2024, the Company's board of directors adopted the 2024 Inducement Stock Incentive Plan (the "2024 Inducement Plan"). The 2024 Inducement Plan provides for the grant of nonstatutory stock options, stock appreciation rights, restricted stock, restricted stock units and other stock-based awards with respect to an aggregate of 900,000 shares of Common Stock (subject to adjustment as provided in the 2024 Inducement Plan). Awards under the 2024 Inducement Plan may only be granted to new employees who were not previously an employee or director of the Company or are commencing employment with the Company following a bona fide period of non-employment, in either case, as an inducement material to the individual’s entering into employment with the Company and in accordance with the requirements of Nasdaq Stock Market Rule 5635(c)(4). In February 2026, the Company's board of directors approved an additional 2,200,000 shares for issuance under the 2024 Inducement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687,547 shares remained available for future issuance under the 2024 Inducement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To date, the Company has granted stock options that vest solely based on continued service to the Company, which it calls service-based vesting conditions, stock options that vest based on both continued service to the Company and certain market-based conditions, which it calls service- and market-based vesting conditions, and stock options that vest based on the achievement of certain pre-defined performance conditions, which it calls performance-based vesting conditions. The fair value of stock option grants is estimated using the Black-Scholes option-pricing model for stock options with service-based and performance-based vesting conditions. Stock-based compensation expense is recognized for stock option grants that vest upon satisfaction of service and/or performance conditions if it is probable that the required performance condition will be achieved. The fair value is determined based upon the quoted price of the Company’s common stock. The Company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fair value of stock options with service- and market-based vesting conditions is estimated using a Monte Carlo valuation method, incorporating various option pricing inputs.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that the Company used to determine the grant-date fair value of options granted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94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14"/>
                <w:szCs w:val="14"/>
                <w:color w:val="auto"/>
              </w:rPr>
            </w:pPr>
          </w:p>
        </w:tc>
      </w:tr>
      <w:tr>
        <w:trPr>
          <w:trHeight w:val="155"/>
        </w:trPr>
        <w:tc>
          <w:tcPr>
            <w:tcW w:w="374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left="202"/>
              <w:spacing w:after="0" w:line="155" w:lineRule="exact"/>
              <w:rPr>
                <w:sz w:val="20"/>
                <w:szCs w:val="20"/>
                <w:color w:val="auto"/>
              </w:rPr>
            </w:pPr>
            <w:r>
              <w:rPr>
                <w:rFonts w:ascii="Arial" w:cs="Arial" w:eastAsia="Arial" w:hAnsi="Arial"/>
                <w:sz w:val="14"/>
                <w:szCs w:val="14"/>
                <w:b w:val="1"/>
                <w:bCs w:val="1"/>
                <w:color w:val="auto"/>
              </w:rPr>
              <w:t>2026</w:t>
            </w:r>
          </w:p>
        </w:tc>
        <w:tc>
          <w:tcPr>
            <w:tcW w:w="2220" w:type="dxa"/>
            <w:vAlign w:val="bottom"/>
            <w:tcBorders>
              <w:bottom w:val="single" w:sz="8" w:color="auto"/>
            </w:tcBorders>
          </w:tcPr>
          <w:p>
            <w:pPr>
              <w:jc w:val="center"/>
              <w:ind w:left="694"/>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3"/>
                <w:szCs w:val="13"/>
                <w:color w:val="auto"/>
              </w:rPr>
            </w:pPr>
          </w:p>
        </w:tc>
      </w:tr>
      <w:tr>
        <w:trPr>
          <w:trHeight w:val="196"/>
        </w:trPr>
        <w:tc>
          <w:tcPr>
            <w:tcW w:w="3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volatility</w:t>
            </w:r>
          </w:p>
        </w:tc>
        <w:tc>
          <w:tcPr>
            <w:tcW w:w="4880" w:type="dxa"/>
            <w:vAlign w:val="bottom"/>
            <w:gridSpan w:val="2"/>
            <w:shd w:val="clear" w:color="auto" w:fill="CFF0FC"/>
          </w:tcPr>
          <w:p>
            <w:pPr>
              <w:jc w:val="center"/>
              <w:ind w:left="3350"/>
              <w:spacing w:after="0" w:line="196" w:lineRule="exact"/>
              <w:rPr>
                <w:sz w:val="20"/>
                <w:szCs w:val="20"/>
                <w:color w:val="auto"/>
              </w:rPr>
            </w:pPr>
            <w:r>
              <w:rPr>
                <w:rFonts w:ascii="Arial" w:cs="Arial" w:eastAsia="Arial" w:hAnsi="Arial"/>
                <w:sz w:val="18"/>
                <w:szCs w:val="18"/>
                <w:color w:val="auto"/>
                <w:w w:val="99"/>
              </w:rPr>
              <w:t>72%</w:t>
            </w:r>
          </w:p>
        </w:tc>
        <w:tc>
          <w:tcPr>
            <w:tcW w:w="2220" w:type="dxa"/>
            <w:vAlign w:val="bottom"/>
            <w:shd w:val="clear" w:color="auto" w:fill="CFF0FC"/>
          </w:tcPr>
          <w:p>
            <w:pPr>
              <w:jc w:val="center"/>
              <w:ind w:left="694"/>
              <w:spacing w:after="0" w:line="196" w:lineRule="exact"/>
              <w:rPr>
                <w:sz w:val="20"/>
                <w:szCs w:val="20"/>
                <w:color w:val="auto"/>
              </w:rPr>
            </w:pPr>
            <w:r>
              <w:rPr>
                <w:rFonts w:ascii="Arial" w:cs="Arial" w:eastAsia="Arial" w:hAnsi="Arial"/>
                <w:sz w:val="18"/>
                <w:szCs w:val="18"/>
                <w:color w:val="auto"/>
                <w:w w:val="99"/>
              </w:rPr>
              <w:t>67%</w:t>
            </w:r>
          </w:p>
        </w:tc>
        <w:tc>
          <w:tcPr>
            <w:tcW w:w="400" w:type="dxa"/>
            <w:vAlign w:val="bottom"/>
            <w:shd w:val="clear" w:color="auto" w:fill="CFF0FC"/>
          </w:tcPr>
          <w:p>
            <w:pPr>
              <w:spacing w:after="0"/>
              <w:rPr>
                <w:sz w:val="17"/>
                <w:szCs w:val="17"/>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3160" w:type="dxa"/>
            <w:vAlign w:val="bottom"/>
          </w:tcPr>
          <w:p>
            <w:pPr>
              <w:spacing w:after="0"/>
              <w:rPr>
                <w:sz w:val="17"/>
                <w:szCs w:val="17"/>
                <w:color w:val="auto"/>
              </w:rPr>
            </w:pPr>
          </w:p>
        </w:tc>
        <w:tc>
          <w:tcPr>
            <w:tcW w:w="1720" w:type="dxa"/>
            <w:vAlign w:val="bottom"/>
          </w:tcPr>
          <w:p>
            <w:pPr>
              <w:jc w:val="center"/>
              <w:ind w:left="182"/>
              <w:spacing w:after="0" w:line="202" w:lineRule="exact"/>
              <w:rPr>
                <w:sz w:val="20"/>
                <w:szCs w:val="20"/>
                <w:color w:val="auto"/>
              </w:rPr>
            </w:pPr>
            <w:r>
              <w:rPr>
                <w:rFonts w:ascii="Arial" w:cs="Arial" w:eastAsia="Arial" w:hAnsi="Arial"/>
                <w:sz w:val="18"/>
                <w:szCs w:val="18"/>
                <w:color w:val="auto"/>
                <w:w w:val="99"/>
              </w:rPr>
              <w:t>3.71% — 4.87%</w:t>
            </w:r>
          </w:p>
        </w:tc>
        <w:tc>
          <w:tcPr>
            <w:tcW w:w="2220" w:type="dxa"/>
            <w:vAlign w:val="bottom"/>
          </w:tcPr>
          <w:p>
            <w:pPr>
              <w:jc w:val="center"/>
              <w:ind w:left="674"/>
              <w:spacing w:after="0" w:line="202" w:lineRule="exact"/>
              <w:rPr>
                <w:sz w:val="20"/>
                <w:szCs w:val="20"/>
                <w:color w:val="auto"/>
              </w:rPr>
            </w:pPr>
            <w:r>
              <w:rPr>
                <w:rFonts w:ascii="Arial" w:cs="Arial" w:eastAsia="Arial" w:hAnsi="Arial"/>
                <w:sz w:val="18"/>
                <w:szCs w:val="18"/>
                <w:color w:val="auto"/>
                <w:w w:val="99"/>
              </w:rPr>
              <w:t>3.71% — 4.52%</w:t>
            </w:r>
          </w:p>
        </w:tc>
        <w:tc>
          <w:tcPr>
            <w:tcW w:w="400" w:type="dxa"/>
            <w:vAlign w:val="bottom"/>
          </w:tcPr>
          <w:p>
            <w:pPr>
              <w:spacing w:after="0"/>
              <w:rPr>
                <w:sz w:val="17"/>
                <w:szCs w:val="17"/>
                <w:color w:val="auto"/>
              </w:rPr>
            </w:pPr>
          </w:p>
        </w:tc>
      </w:tr>
      <w:tr>
        <w:trPr>
          <w:trHeight w:val="203"/>
        </w:trPr>
        <w:tc>
          <w:tcPr>
            <w:tcW w:w="3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(in years)</w:t>
            </w:r>
          </w:p>
        </w:tc>
        <w:tc>
          <w:tcPr>
            <w:tcW w:w="4880" w:type="dxa"/>
            <w:vAlign w:val="bottom"/>
            <w:gridSpan w:val="2"/>
            <w:shd w:val="clear" w:color="auto" w:fill="CFF0FC"/>
          </w:tcPr>
          <w:p>
            <w:pPr>
              <w:jc w:val="center"/>
              <w:ind w:left="3330"/>
              <w:spacing w:after="0" w:line="202" w:lineRule="exact"/>
              <w:rPr>
                <w:sz w:val="20"/>
                <w:szCs w:val="20"/>
                <w:color w:val="auto"/>
              </w:rPr>
            </w:pPr>
            <w:r>
              <w:rPr>
                <w:rFonts w:ascii="Arial" w:cs="Arial" w:eastAsia="Arial" w:hAnsi="Arial"/>
                <w:sz w:val="18"/>
                <w:szCs w:val="18"/>
                <w:color w:val="auto"/>
                <w:w w:val="99"/>
              </w:rPr>
              <w:t>6</w:t>
            </w:r>
          </w:p>
        </w:tc>
        <w:tc>
          <w:tcPr>
            <w:tcW w:w="2220" w:type="dxa"/>
            <w:vAlign w:val="bottom"/>
            <w:shd w:val="clear" w:color="auto" w:fill="CFF0FC"/>
          </w:tcPr>
          <w:p>
            <w:pPr>
              <w:jc w:val="center"/>
              <w:ind w:left="674"/>
              <w:spacing w:after="0" w:line="202" w:lineRule="exact"/>
              <w:rPr>
                <w:sz w:val="20"/>
                <w:szCs w:val="20"/>
                <w:color w:val="auto"/>
              </w:rPr>
            </w:pPr>
            <w:r>
              <w:rPr>
                <w:rFonts w:ascii="Arial" w:cs="Arial" w:eastAsia="Arial" w:hAnsi="Arial"/>
                <w:sz w:val="18"/>
                <w:szCs w:val="18"/>
                <w:color w:val="auto"/>
                <w:w w:val="99"/>
              </w:rPr>
              <w:t>6</w:t>
            </w:r>
          </w:p>
        </w:tc>
        <w:tc>
          <w:tcPr>
            <w:tcW w:w="400" w:type="dxa"/>
            <w:vAlign w:val="bottom"/>
            <w:shd w:val="clear" w:color="auto" w:fill="CFF0FC"/>
          </w:tcPr>
          <w:p>
            <w:pPr>
              <w:spacing w:after="0"/>
              <w:rPr>
                <w:sz w:val="17"/>
                <w:szCs w:val="17"/>
                <w:color w:val="auto"/>
              </w:rPr>
            </w:pPr>
          </w:p>
        </w:tc>
      </w:tr>
      <w:tr>
        <w:trPr>
          <w:trHeight w:val="203"/>
        </w:trPr>
        <w:tc>
          <w:tcPr>
            <w:tcW w:w="3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Expected dividend yield</w:t>
            </w:r>
          </w:p>
        </w:tc>
        <w:tc>
          <w:tcPr>
            <w:tcW w:w="3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w:t>
            </w:r>
          </w:p>
        </w:tc>
      </w:tr>
      <w:tr>
        <w:trPr>
          <w:trHeight w:val="808"/>
        </w:trPr>
        <w:tc>
          <w:tcPr>
            <w:tcW w:w="3740" w:type="dxa"/>
            <w:vAlign w:val="bottom"/>
          </w:tcPr>
          <w:p>
            <w:pPr>
              <w:spacing w:after="0"/>
              <w:rPr>
                <w:sz w:val="24"/>
                <w:szCs w:val="24"/>
                <w:color w:val="auto"/>
              </w:rPr>
            </w:pPr>
          </w:p>
        </w:tc>
        <w:tc>
          <w:tcPr>
            <w:tcW w:w="3160" w:type="dxa"/>
            <w:vAlign w:val="bottom"/>
          </w:tcPr>
          <w:p>
            <w:pPr>
              <w:jc w:val="right"/>
              <w:ind w:right="1090"/>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45"/>
        </w:trPr>
        <w:tc>
          <w:tcPr>
            <w:tcW w:w="37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nine months ended September 30, 2026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right="280"/>
              <w:spacing w:after="0"/>
              <w:rPr>
                <w:sz w:val="20"/>
                <w:szCs w:val="20"/>
                <w:color w:val="auto"/>
              </w:rPr>
            </w:pPr>
            <w:r>
              <w:rPr>
                <w:rFonts w:ascii="Arial" w:cs="Arial" w:eastAsia="Arial" w:hAnsi="Arial"/>
                <w:sz w:val="13"/>
                <w:szCs w:val="13"/>
                <w:b w:val="1"/>
                <w:bCs w:val="1"/>
                <w:color w:val="auto"/>
                <w:w w:val="95"/>
              </w:rPr>
              <w:t>Weighted</w:t>
            </w:r>
          </w:p>
        </w:tc>
        <w:tc>
          <w:tcPr>
            <w:tcW w:w="1340" w:type="dxa"/>
            <w:vAlign w:val="bottom"/>
          </w:tcPr>
          <w:p>
            <w:pPr>
              <w:jc w:val="center"/>
              <w:ind w:right="4"/>
              <w:spacing w:after="0"/>
              <w:rPr>
                <w:sz w:val="20"/>
                <w:szCs w:val="20"/>
                <w:color w:val="auto"/>
              </w:rPr>
            </w:pPr>
            <w:r>
              <w:rPr>
                <w:rFonts w:ascii="Arial" w:cs="Arial" w:eastAsia="Arial" w:hAnsi="Arial"/>
                <w:sz w:val="13"/>
                <w:szCs w:val="13"/>
                <w:b w:val="1"/>
                <w:bCs w:val="1"/>
                <w:color w:val="auto"/>
                <w:w w:val="99"/>
              </w:rPr>
              <w:t>Weighted</w:t>
            </w:r>
          </w:p>
        </w:tc>
        <w:tc>
          <w:tcPr>
            <w:tcW w:w="300" w:type="dxa"/>
            <w:vAlign w:val="bottom"/>
          </w:tcPr>
          <w:p>
            <w:pPr>
              <w:spacing w:after="0"/>
              <w:rPr>
                <w:sz w:val="13"/>
                <w:szCs w:val="13"/>
                <w:color w:val="auto"/>
              </w:rPr>
            </w:pPr>
          </w:p>
        </w:tc>
        <w:tc>
          <w:tcPr>
            <w:tcW w:w="1100" w:type="dxa"/>
            <w:vAlign w:val="bottom"/>
            <w:vMerge w:val="restart"/>
          </w:tcPr>
          <w:p>
            <w:pPr>
              <w:jc w:val="center"/>
              <w:ind w:right="242"/>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35"/>
        </w:trPr>
        <w:tc>
          <w:tcPr>
            <w:tcW w:w="5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Average</w:t>
            </w:r>
          </w:p>
        </w:tc>
        <w:tc>
          <w:tcPr>
            <w:tcW w:w="1340" w:type="dxa"/>
            <w:vAlign w:val="bottom"/>
          </w:tcPr>
          <w:p>
            <w:pPr>
              <w:jc w:val="center"/>
              <w:ind w:right="4"/>
              <w:spacing w:after="0" w:line="135" w:lineRule="exact"/>
              <w:rPr>
                <w:sz w:val="20"/>
                <w:szCs w:val="20"/>
                <w:color w:val="auto"/>
              </w:rPr>
            </w:pPr>
            <w:r>
              <w:rPr>
                <w:rFonts w:ascii="Arial" w:cs="Arial" w:eastAsia="Arial" w:hAnsi="Arial"/>
                <w:sz w:val="13"/>
                <w:szCs w:val="13"/>
                <w:b w:val="1"/>
                <w:bCs w:val="1"/>
                <w:color w:val="auto"/>
                <w:w w:val="97"/>
              </w:rPr>
              <w:t>Average</w:t>
            </w:r>
          </w:p>
        </w:tc>
        <w:tc>
          <w:tcPr>
            <w:tcW w:w="3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0" w:type="dxa"/>
            <w:vAlign w:val="bottom"/>
            <w:vMerge w:val="restart"/>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280" w:type="dxa"/>
            <w:vAlign w:val="bottom"/>
            <w:vMerge w:val="restart"/>
          </w:tcPr>
          <w:p>
            <w:pPr>
              <w:jc w:val="right"/>
              <w:ind w:right="373"/>
              <w:spacing w:after="0"/>
              <w:rPr>
                <w:sz w:val="20"/>
                <w:szCs w:val="20"/>
                <w:color w:val="auto"/>
              </w:rPr>
            </w:pPr>
            <w:r>
              <w:rPr>
                <w:rFonts w:ascii="Arial" w:cs="Arial" w:eastAsia="Arial" w:hAnsi="Arial"/>
                <w:sz w:val="13"/>
                <w:szCs w:val="13"/>
                <w:b w:val="1"/>
                <w:bCs w:val="1"/>
                <w:color w:val="auto"/>
              </w:rPr>
              <w:t>Options</w:t>
            </w:r>
          </w:p>
        </w:tc>
        <w:tc>
          <w:tcPr>
            <w:tcW w:w="300" w:type="dxa"/>
            <w:vAlign w:val="bottom"/>
          </w:tcPr>
          <w:p>
            <w:pPr>
              <w:spacing w:after="0"/>
              <w:rPr>
                <w:sz w:val="11"/>
                <w:szCs w:val="11"/>
                <w:color w:val="auto"/>
              </w:rPr>
            </w:pPr>
          </w:p>
        </w:tc>
        <w:tc>
          <w:tcPr>
            <w:tcW w:w="1120" w:type="dxa"/>
            <w:vAlign w:val="bottom"/>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Exercise</w:t>
            </w:r>
          </w:p>
        </w:tc>
        <w:tc>
          <w:tcPr>
            <w:tcW w:w="1340" w:type="dxa"/>
            <w:vAlign w:val="bottom"/>
          </w:tcPr>
          <w:p>
            <w:pPr>
              <w:jc w:val="center"/>
              <w:ind w:right="4"/>
              <w:spacing w:after="0" w:line="135" w:lineRule="exact"/>
              <w:rPr>
                <w:sz w:val="20"/>
                <w:szCs w:val="20"/>
                <w:color w:val="auto"/>
              </w:rPr>
            </w:pPr>
            <w:r>
              <w:rPr>
                <w:rFonts w:ascii="Arial" w:cs="Arial" w:eastAsia="Arial" w:hAnsi="Arial"/>
                <w:sz w:val="13"/>
                <w:szCs w:val="13"/>
                <w:b w:val="1"/>
                <w:bCs w:val="1"/>
                <w:color w:val="auto"/>
                <w:w w:val="96"/>
              </w:rPr>
              <w:t>Remaining Life</w:t>
            </w:r>
          </w:p>
        </w:tc>
        <w:tc>
          <w:tcPr>
            <w:tcW w:w="300" w:type="dxa"/>
            <w:vAlign w:val="bottom"/>
          </w:tcPr>
          <w:p>
            <w:pPr>
              <w:spacing w:after="0"/>
              <w:rPr>
                <w:sz w:val="11"/>
                <w:szCs w:val="11"/>
                <w:color w:val="auto"/>
              </w:rPr>
            </w:pPr>
          </w:p>
        </w:tc>
        <w:tc>
          <w:tcPr>
            <w:tcW w:w="1100" w:type="dxa"/>
            <w:vAlign w:val="bottom"/>
          </w:tcPr>
          <w:p>
            <w:pPr>
              <w:jc w:val="center"/>
              <w:ind w:right="242"/>
              <w:spacing w:after="0" w:line="135"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53"/>
        </w:trPr>
        <w:tc>
          <w:tcPr>
            <w:tcW w:w="5800" w:type="dxa"/>
            <w:vAlign w:val="bottom"/>
            <w:tcBorders>
              <w:bottom w:val="single" w:sz="8" w:color="auto"/>
            </w:tcBorders>
            <w:vMerge w:val="continue"/>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80"/>
              <w:spacing w:after="0"/>
              <w:rPr>
                <w:sz w:val="20"/>
                <w:szCs w:val="20"/>
                <w:color w:val="auto"/>
              </w:rPr>
            </w:pPr>
            <w:r>
              <w:rPr>
                <w:rFonts w:ascii="Arial" w:cs="Arial" w:eastAsia="Arial" w:hAnsi="Arial"/>
                <w:sz w:val="13"/>
                <w:szCs w:val="13"/>
                <w:b w:val="1"/>
                <w:bCs w:val="1"/>
                <w:color w:val="auto"/>
              </w:rPr>
              <w:t>Price</w:t>
            </w:r>
          </w:p>
        </w:tc>
        <w:tc>
          <w:tcPr>
            <w:tcW w:w="134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6"/>
              </w:rPr>
              <w:t>(in years)</w:t>
            </w: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42"/>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as of January 1, 2026</w:t>
            </w:r>
          </w:p>
        </w:tc>
        <w:tc>
          <w:tcPr>
            <w:tcW w:w="12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9,911,043</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17.92</w:t>
            </w:r>
          </w:p>
        </w:tc>
        <w:tc>
          <w:tcPr>
            <w:tcW w:w="1340" w:type="dxa"/>
            <w:vAlign w:val="bottom"/>
            <w:shd w:val="clear" w:color="auto" w:fill="CFF0FC"/>
          </w:tcPr>
          <w:p>
            <w:pPr>
              <w:jc w:val="right"/>
              <w:ind w:right="44"/>
              <w:spacing w:after="0" w:line="196" w:lineRule="exact"/>
              <w:rPr>
                <w:sz w:val="20"/>
                <w:szCs w:val="20"/>
                <w:color w:val="auto"/>
              </w:rPr>
            </w:pPr>
            <w:r>
              <w:rPr>
                <w:rFonts w:ascii="Arial" w:cs="Arial" w:eastAsia="Arial" w:hAnsi="Arial"/>
                <w:sz w:val="18"/>
                <w:szCs w:val="18"/>
                <w:color w:val="auto"/>
              </w:rPr>
              <w:t>8.2</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62"/>
              <w:spacing w:after="0" w:line="196" w:lineRule="exact"/>
              <w:rPr>
                <w:sz w:val="20"/>
                <w:szCs w:val="20"/>
                <w:color w:val="auto"/>
              </w:rPr>
            </w:pPr>
            <w:r>
              <w:rPr>
                <w:rFonts w:ascii="Arial" w:cs="Arial" w:eastAsia="Arial" w:hAnsi="Arial"/>
                <w:sz w:val="18"/>
                <w:szCs w:val="18"/>
                <w:color w:val="auto"/>
              </w:rPr>
              <w:t>52,782</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4,870,697</w:t>
            </w:r>
          </w:p>
        </w:tc>
        <w:tc>
          <w:tcPr>
            <w:tcW w:w="300" w:type="dxa"/>
            <w:vAlign w:val="bottom"/>
          </w:tcPr>
          <w:p>
            <w:pPr>
              <w:spacing w:after="0"/>
              <w:rPr>
                <w:sz w:val="17"/>
                <w:szCs w:val="17"/>
                <w:color w:val="auto"/>
              </w:rPr>
            </w:pPr>
          </w:p>
        </w:tc>
        <w:tc>
          <w:tcPr>
            <w:tcW w:w="112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17.56</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(425,148)</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9.96</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Forfeitures</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(581,279)</w:t>
            </w:r>
          </w:p>
        </w:tc>
        <w:tc>
          <w:tcPr>
            <w:tcW w:w="300" w:type="dxa"/>
            <w:vAlign w:val="bottom"/>
          </w:tcPr>
          <w:p>
            <w:pPr>
              <w:spacing w:after="0"/>
              <w:rPr>
                <w:sz w:val="17"/>
                <w:szCs w:val="17"/>
                <w:color w:val="auto"/>
              </w:rPr>
            </w:pPr>
          </w:p>
        </w:tc>
        <w:tc>
          <w:tcPr>
            <w:tcW w:w="112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17.93</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Outstanding as of September 30, 2026</w:t>
            </w:r>
          </w:p>
        </w:tc>
        <w:tc>
          <w:tcPr>
            <w:tcW w:w="12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13,775,313</w:t>
            </w:r>
          </w:p>
        </w:tc>
        <w:tc>
          <w:tcPr>
            <w:tcW w:w="3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18.04</w:t>
            </w:r>
          </w:p>
        </w:tc>
        <w:tc>
          <w:tcPr>
            <w:tcW w:w="1340" w:type="dxa"/>
            <w:vAlign w:val="bottom"/>
            <w:tcBorders>
              <w:bottom w:val="single" w:sz="8" w:color="CFF0FC"/>
            </w:tcBorders>
            <w:shd w:val="clear" w:color="auto" w:fill="CFF0FC"/>
          </w:tcPr>
          <w:p>
            <w:pPr>
              <w:jc w:val="right"/>
              <w:ind w:right="44"/>
              <w:spacing w:after="0" w:line="196" w:lineRule="exact"/>
              <w:rPr>
                <w:sz w:val="20"/>
                <w:szCs w:val="20"/>
                <w:color w:val="auto"/>
              </w:rPr>
            </w:pPr>
            <w:r>
              <w:rPr>
                <w:rFonts w:ascii="Arial" w:cs="Arial" w:eastAsia="Arial" w:hAnsi="Arial"/>
                <w:sz w:val="18"/>
                <w:szCs w:val="18"/>
                <w:color w:val="auto"/>
              </w:rPr>
              <w:t>8.2</w:t>
            </w:r>
          </w:p>
        </w:tc>
        <w:tc>
          <w:tcPr>
            <w:tcW w:w="3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62"/>
              <w:spacing w:after="0" w:line="196" w:lineRule="exact"/>
              <w:rPr>
                <w:sz w:val="20"/>
                <w:szCs w:val="20"/>
                <w:color w:val="auto"/>
              </w:rPr>
            </w:pPr>
            <w:r>
              <w:rPr>
                <w:rFonts w:ascii="Arial" w:cs="Arial" w:eastAsia="Arial" w:hAnsi="Arial"/>
                <w:sz w:val="18"/>
                <w:szCs w:val="18"/>
                <w:color w:val="auto"/>
              </w:rPr>
              <w:t>28,956</w:t>
            </w: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color w:val="auto"/>
              </w:rPr>
              <w:t>Options exercisable as of September 30, 2026</w:t>
            </w:r>
          </w:p>
        </w:tc>
        <w:tc>
          <w:tcPr>
            <w:tcW w:w="1280" w:type="dxa"/>
            <w:vAlign w:val="bottom"/>
          </w:tcPr>
          <w:p>
            <w:pPr>
              <w:jc w:val="right"/>
              <w:ind w:right="33"/>
              <w:spacing w:after="0" w:line="196" w:lineRule="exact"/>
              <w:rPr>
                <w:sz w:val="20"/>
                <w:szCs w:val="20"/>
                <w:color w:val="auto"/>
              </w:rPr>
            </w:pPr>
            <w:r>
              <w:rPr>
                <w:rFonts w:ascii="Arial" w:cs="Arial" w:eastAsia="Arial" w:hAnsi="Arial"/>
                <w:sz w:val="18"/>
                <w:szCs w:val="18"/>
                <w:color w:val="auto"/>
              </w:rPr>
              <w:t>5,223,541</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0"/>
              <w:spacing w:after="0" w:line="196" w:lineRule="exact"/>
              <w:rPr>
                <w:sz w:val="20"/>
                <w:szCs w:val="20"/>
                <w:color w:val="auto"/>
              </w:rPr>
            </w:pPr>
            <w:r>
              <w:rPr>
                <w:rFonts w:ascii="Arial" w:cs="Arial" w:eastAsia="Arial" w:hAnsi="Arial"/>
                <w:sz w:val="18"/>
                <w:szCs w:val="18"/>
                <w:color w:val="auto"/>
              </w:rPr>
              <w:t>18.08</w:t>
            </w:r>
          </w:p>
        </w:tc>
        <w:tc>
          <w:tcPr>
            <w:tcW w:w="1340" w:type="dxa"/>
            <w:vAlign w:val="bottom"/>
          </w:tcPr>
          <w:p>
            <w:pPr>
              <w:jc w:val="right"/>
              <w:ind w:right="44"/>
              <w:spacing w:after="0" w:line="196" w:lineRule="exact"/>
              <w:rPr>
                <w:sz w:val="20"/>
                <w:szCs w:val="20"/>
                <w:color w:val="auto"/>
              </w:rPr>
            </w:pPr>
            <w:r>
              <w:rPr>
                <w:rFonts w:ascii="Arial" w:cs="Arial" w:eastAsia="Arial" w:hAnsi="Arial"/>
                <w:sz w:val="18"/>
                <w:szCs w:val="18"/>
                <w:color w:val="auto"/>
              </w:rPr>
              <w:t>6.9</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62"/>
              <w:spacing w:after="0" w:line="196" w:lineRule="exact"/>
              <w:rPr>
                <w:sz w:val="20"/>
                <w:szCs w:val="20"/>
                <w:color w:val="auto"/>
              </w:rPr>
            </w:pPr>
            <w:r>
              <w:rPr>
                <w:rFonts w:ascii="Arial" w:cs="Arial" w:eastAsia="Arial" w:hAnsi="Arial"/>
                <w:sz w:val="18"/>
                <w:szCs w:val="18"/>
                <w:color w:val="auto"/>
              </w:rPr>
              <w:t>15,279</w:t>
            </w:r>
          </w:p>
        </w:tc>
        <w:tc>
          <w:tcPr>
            <w:tcW w:w="0" w:type="dxa"/>
            <w:vAlign w:val="bottom"/>
          </w:tcPr>
          <w:p>
            <w:pPr>
              <w:spacing w:after="0"/>
              <w:rPr>
                <w:sz w:val="1"/>
                <w:szCs w:val="1"/>
                <w:color w:val="auto"/>
              </w:rPr>
            </w:pPr>
          </w:p>
        </w:tc>
      </w:tr>
      <w:tr>
        <w:trPr>
          <w:trHeight w:val="203"/>
        </w:trPr>
        <w:tc>
          <w:tcPr>
            <w:tcW w:w="580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Options vested or expected to vest— September 30, 2026</w:t>
            </w:r>
          </w:p>
        </w:tc>
        <w:tc>
          <w:tcPr>
            <w:tcW w:w="12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13,775,313</w:t>
            </w: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18.04</w:t>
            </w:r>
          </w:p>
        </w:tc>
        <w:tc>
          <w:tcPr>
            <w:tcW w:w="1340" w:type="dxa"/>
            <w:vAlign w:val="bottom"/>
            <w:tcBorders>
              <w:bottom w:val="single" w:sz="8" w:color="auto"/>
            </w:tcBorders>
            <w:shd w:val="clear" w:color="auto" w:fill="CFF0FC"/>
          </w:tcPr>
          <w:p>
            <w:pPr>
              <w:jc w:val="right"/>
              <w:ind w:right="44"/>
              <w:spacing w:after="0" w:line="202" w:lineRule="exact"/>
              <w:rPr>
                <w:sz w:val="20"/>
                <w:szCs w:val="20"/>
                <w:color w:val="auto"/>
              </w:rPr>
            </w:pPr>
            <w:r>
              <w:rPr>
                <w:rFonts w:ascii="Arial" w:cs="Arial" w:eastAsia="Arial" w:hAnsi="Arial"/>
                <w:sz w:val="18"/>
                <w:szCs w:val="18"/>
                <w:color w:val="auto"/>
              </w:rPr>
              <w:t>8.2</w:t>
            </w: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62"/>
              <w:spacing w:after="0" w:line="202" w:lineRule="exact"/>
              <w:rPr>
                <w:sz w:val="20"/>
                <w:szCs w:val="20"/>
                <w:color w:val="auto"/>
              </w:rPr>
            </w:pPr>
            <w:r>
              <w:rPr>
                <w:rFonts w:ascii="Arial" w:cs="Arial" w:eastAsia="Arial" w:hAnsi="Arial"/>
                <w:sz w:val="18"/>
                <w:szCs w:val="18"/>
                <w:color w:val="auto"/>
              </w:rPr>
              <w:t>28,956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-273685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intrinsic value of options exercised for the nine months ended September 30, 2026 and 2025 totaled $5.5 million and $4.3 million, respectively. The weighted-average grant date fair value of the options granted during the nine months ended September 30, 2026 and 2025 was $11.74 per share and $6.78 per share, respectively. As of September 30, 2026, there was $91.1 million of unrecognized compensation expense, which the Company expects to recognize over a weighted-average period of 2.6 years.</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July 2025, the Company granted stock options to purchase 591,685 shares of common stock that vest over a three-year term from the grant date contingent upon the achievement of certain market conditions. The fair value of these stock options was estimated using a Monte Carlo valuation method, incorporating various option pricing inputs. The estimated grant date fair value of $2.7 million for the outstanding options will be recognized as expense over the three-year service period and $1.1 million was recognized as expense during the nine months ended September 30, 2026.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2"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A restricted stock unit ("RSU") represents the right to receive one share of common stock upon vesting of the RSU. The Company grants RSUs with service conditions that vest in four equal annual installments provided that the employee remains employed with the Company, RSUs with service conditions that vest in sixteen equal quarterly installments provided that the employee remains employed with the Company and RSUs with performance-based vesting conditions. As of September 30, 2026, there are no RSUs with performance-based vesting conditions outstanding. The fair value of each RSU is based on the closing price of the Company’s common stock on the date of grant. A summary of the Company’s RSU activity and related information for the nine months ended September 30, 2026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315"/>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700" w:type="dxa"/>
            <w:vAlign w:val="bottom"/>
          </w:tcPr>
          <w:p>
            <w:pPr>
              <w:jc w:val="right"/>
              <w:ind w:right="235"/>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315"/>
              <w:spacing w:after="0"/>
              <w:rPr>
                <w:sz w:val="20"/>
                <w:szCs w:val="20"/>
                <w:color w:val="auto"/>
              </w:rPr>
            </w:pPr>
            <w:r>
              <w:rPr>
                <w:rFonts w:ascii="Arial" w:cs="Arial" w:eastAsia="Arial" w:hAnsi="Arial"/>
                <w:sz w:val="14"/>
                <w:szCs w:val="14"/>
                <w:b w:val="1"/>
                <w:bCs w:val="1"/>
                <w:color w:val="auto"/>
              </w:rPr>
              <w:t>Average</w:t>
            </w:r>
          </w:p>
        </w:tc>
      </w:tr>
      <w:tr>
        <w:trPr>
          <w:trHeight w:val="171"/>
        </w:trPr>
        <w:tc>
          <w:tcPr>
            <w:tcW w:w="77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Underlying RSUs</w:t>
            </w:r>
          </w:p>
        </w:tc>
        <w:tc>
          <w:tcPr>
            <w:tcW w:w="160" w:type="dxa"/>
            <w:vAlign w:val="bottom"/>
          </w:tcPr>
          <w:p>
            <w:pPr>
              <w:spacing w:after="0"/>
              <w:rPr>
                <w:sz w:val="14"/>
                <w:szCs w:val="14"/>
                <w:color w:val="auto"/>
              </w:rPr>
            </w:pPr>
          </w:p>
        </w:tc>
        <w:tc>
          <w:tcPr>
            <w:tcW w:w="166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rPr>
              <w:t>Grant Date Fair Value</w:t>
            </w: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Issued and unvested as of January 1, 2026</w:t>
            </w:r>
          </w:p>
        </w:tc>
        <w:tc>
          <w:tcPr>
            <w:tcW w:w="17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2,438,316</w:t>
            </w:r>
          </w:p>
        </w:tc>
        <w:tc>
          <w:tcPr>
            <w:tcW w:w="44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20.21</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2,979,199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16.76</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(924,208)</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19.31</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(321,515)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18.09</w:t>
            </w:r>
          </w:p>
        </w:tc>
      </w:tr>
      <w:tr>
        <w:trPr>
          <w:trHeight w:val="196"/>
        </w:trPr>
        <w:tc>
          <w:tcPr>
            <w:tcW w:w="77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Issued and unvested as of September 30, 2026</w:t>
            </w:r>
          </w:p>
        </w:tc>
        <w:tc>
          <w:tcPr>
            <w:tcW w:w="17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4,171,792</w:t>
            </w:r>
          </w:p>
        </w:tc>
        <w:tc>
          <w:tcPr>
            <w:tcW w:w="440" w:type="dxa"/>
            <w:vAlign w:val="bottom"/>
            <w:tcBorders>
              <w:bottom w:val="single" w:sz="8" w:color="auto"/>
            </w:tcBorders>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18.11</w:t>
            </w:r>
          </w:p>
        </w:tc>
      </w:tr>
    </w:tbl>
    <w:p>
      <w:pPr>
        <w:spacing w:after="0" w:line="18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The fair value of RSUs vested during the nine months ended September 30, 2026 and 2025 totaled $19.0 million and $12.8 million, respectively. The weighted average grant date fair value of RSUs granted during the nine months ended September 30, 2025 was $10.86 per share. As of September 30, 2026, there was $70.4 million of unrecognized compensation costs related to unvested RSUs, which are expected to be recognized over a weighted-average period of 2.9 years.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Company recorded stock-based compensation expense in the following expense categories of its statements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540" w:type="dxa"/>
            <w:vAlign w:val="bottom"/>
            <w:tcBorders>
              <w:bottom w:val="single" w:sz="8" w:color="auto"/>
            </w:tcBorders>
            <w:vMerge w:val="continue"/>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3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5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8,032</w:t>
            </w:r>
          </w:p>
        </w:tc>
        <w:tc>
          <w:tcPr>
            <w:tcW w:w="4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6,258</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22,718</w:t>
            </w:r>
          </w:p>
        </w:tc>
        <w:tc>
          <w:tcPr>
            <w:tcW w:w="4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20,095</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8,174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4,824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21,545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14,530</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16,206</w:t>
            </w:r>
          </w:p>
        </w:tc>
        <w:tc>
          <w:tcPr>
            <w:tcW w:w="440" w:type="dxa"/>
            <w:vAlign w:val="bottom"/>
            <w:tcBorders>
              <w:bottom w:val="single" w:sz="8" w:color="auto"/>
            </w:tcBorders>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11,082</w:t>
            </w:r>
          </w:p>
        </w:tc>
        <w:tc>
          <w:tcPr>
            <w:tcW w:w="32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44,263</w:t>
            </w:r>
          </w:p>
        </w:tc>
        <w:tc>
          <w:tcPr>
            <w:tcW w:w="440" w:type="dxa"/>
            <w:vAlign w:val="bottom"/>
            <w:tcBorders>
              <w:bottom w:val="single" w:sz="8" w:color="auto"/>
            </w:tcBorders>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34,625</w:t>
            </w: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 determination is based on the financial results that are regularly evaluated by the Company’s chief operating decision maker ("CODM") to determine resource allocation and assess performance. The Company's CODM is its chief executive officer. The Company has one operating and one reportable segment. Net long-lived assets are all physically located in the United States and the total assets of the segment equal the total assets presented on the condensed consolidated balance sheet. The primary financial measure by which the CODM evaluates the business is net loss. The CODM uses net loss to monitor budget versus actual results to assess performance of the segment. A summary of the significant segment expenses reported to the CODM are shown below for the three and nine months ended September 30, 2026 and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88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80"/>
              <w:spacing w:after="0" w:line="202" w:lineRule="exact"/>
              <w:rPr>
                <w:sz w:val="20"/>
                <w:szCs w:val="20"/>
                <w:color w:val="auto"/>
              </w:rPr>
            </w:pPr>
            <w:r>
              <w:rPr>
                <w:rFonts w:ascii="Arial" w:cs="Arial" w:eastAsia="Arial" w:hAnsi="Arial"/>
                <w:sz w:val="18"/>
                <w:szCs w:val="18"/>
                <w:color w:val="auto"/>
              </w:rPr>
              <w:t>Z-rostudirsen (DMD)</w:t>
            </w:r>
          </w:p>
        </w:tc>
        <w:tc>
          <w:tcPr>
            <w:tcW w:w="11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66,877</w:t>
            </w:r>
          </w:p>
        </w:tc>
        <w:tc>
          <w:tcPr>
            <w:tcW w:w="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22,666</w:t>
            </w:r>
          </w:p>
        </w:tc>
        <w:tc>
          <w:tcPr>
            <w:tcW w:w="3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156,946</w:t>
            </w:r>
          </w:p>
        </w:tc>
        <w:tc>
          <w:tcPr>
            <w:tcW w:w="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73,314</w:t>
            </w: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Z-basivarsen (DM1)</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32,816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37,853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96,577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117,964</w:t>
            </w:r>
          </w:p>
        </w:tc>
        <w:tc>
          <w:tcPr>
            <w:tcW w:w="0" w:type="dxa"/>
            <w:vAlign w:val="bottom"/>
          </w:tcPr>
          <w:p>
            <w:pPr>
              <w:spacing w:after="0"/>
              <w:rPr>
                <w:sz w:val="1"/>
                <w:szCs w:val="1"/>
                <w:color w:val="auto"/>
              </w:rPr>
            </w:pPr>
          </w:p>
        </w:tc>
      </w:tr>
      <w:tr>
        <w:trPr>
          <w:trHeight w:val="203"/>
        </w:trPr>
        <w:tc>
          <w:tcPr>
            <w:tcW w:w="4880" w:type="dxa"/>
            <w:vAlign w:val="bottom"/>
          </w:tcPr>
          <w:p>
            <w:pPr>
              <w:ind w:left="80"/>
              <w:spacing w:after="0" w:line="202" w:lineRule="exact"/>
              <w:rPr>
                <w:sz w:val="20"/>
                <w:szCs w:val="20"/>
                <w:color w:val="auto"/>
              </w:rPr>
            </w:pPr>
            <w:r>
              <w:rPr>
                <w:rFonts w:ascii="Arial" w:cs="Arial" w:eastAsia="Arial" w:hAnsi="Arial"/>
                <w:sz w:val="18"/>
                <w:szCs w:val="18"/>
                <w:color w:val="auto"/>
              </w:rPr>
              <w:t>Platform and external research and development</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21,464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5,769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47,046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21,399</w:t>
            </w: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Personnel related</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32,266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22,517</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89,613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62,730</w:t>
            </w:r>
          </w:p>
        </w:tc>
        <w:tc>
          <w:tcPr>
            <w:tcW w:w="0" w:type="dxa"/>
            <w:vAlign w:val="bottom"/>
          </w:tcPr>
          <w:p>
            <w:pPr>
              <w:spacing w:after="0"/>
              <w:rPr>
                <w:sz w:val="1"/>
                <w:szCs w:val="1"/>
                <w:color w:val="auto"/>
              </w:rPr>
            </w:pPr>
          </w:p>
        </w:tc>
      </w:tr>
      <w:tr>
        <w:trPr>
          <w:trHeight w:val="203"/>
        </w:trPr>
        <w:tc>
          <w:tcPr>
            <w:tcW w:w="4880" w:type="dxa"/>
            <w:vAlign w:val="bottom"/>
          </w:tcPr>
          <w:p>
            <w:pPr>
              <w:ind w:left="80"/>
              <w:spacing w:after="0" w:line="202" w:lineRule="exact"/>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16,206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11,082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44,263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34,625</w:t>
            </w: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Facility-related and other</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14,836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9,448</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39,225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26,703</w:t>
            </w:r>
          </w:p>
        </w:tc>
        <w:tc>
          <w:tcPr>
            <w:tcW w:w="0" w:type="dxa"/>
            <w:vAlign w:val="bottom"/>
          </w:tcPr>
          <w:p>
            <w:pPr>
              <w:spacing w:after="0"/>
              <w:rPr>
                <w:sz w:val="1"/>
                <w:szCs w:val="1"/>
                <w:color w:val="auto"/>
              </w:rPr>
            </w:pPr>
          </w:p>
        </w:tc>
      </w:tr>
      <w:tr>
        <w:trPr>
          <w:trHeight w:val="203"/>
        </w:trPr>
        <w:tc>
          <w:tcPr>
            <w:tcW w:w="4880" w:type="dxa"/>
            <w:vAlign w:val="bottom"/>
          </w:tcPr>
          <w:p>
            <w:pPr>
              <w:ind w:left="80"/>
              <w:spacing w:after="0" w:line="202" w:lineRule="exact"/>
              <w:rPr>
                <w:sz w:val="20"/>
                <w:szCs w:val="20"/>
                <w:color w:val="auto"/>
              </w:rPr>
            </w:pPr>
            <w:r>
              <w:rPr>
                <w:rFonts w:ascii="Arial" w:cs="Arial" w:eastAsia="Arial" w:hAnsi="Arial"/>
                <w:sz w:val="18"/>
                <w:szCs w:val="18"/>
                <w:color w:val="auto"/>
              </w:rPr>
              <w:t>Professional and consulting fees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12,609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4,557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30,341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15,320</w:t>
            </w: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(9,767)</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(8,476)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(26,312)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(22,202)</w:t>
            </w:r>
          </w:p>
        </w:tc>
        <w:tc>
          <w:tcPr>
            <w:tcW w:w="0" w:type="dxa"/>
            <w:vAlign w:val="bottom"/>
          </w:tcPr>
          <w:p>
            <w:pPr>
              <w:spacing w:after="0"/>
              <w:rPr>
                <w:sz w:val="1"/>
                <w:szCs w:val="1"/>
                <w:color w:val="auto"/>
              </w:rPr>
            </w:pPr>
          </w:p>
        </w:tc>
      </w:tr>
      <w:tr>
        <w:trPr>
          <w:trHeight w:val="203"/>
        </w:trPr>
        <w:tc>
          <w:tcPr>
            <w:tcW w:w="4880" w:type="dxa"/>
            <w:vAlign w:val="bottom"/>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5,949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14,746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Other expense (income), net</w:t>
            </w:r>
          </w:p>
        </w:tc>
        <w:tc>
          <w:tcPr>
            <w:tcW w:w="9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296</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(279)</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517</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1180" w:type="dxa"/>
            <w:vAlign w:val="bottom"/>
            <w:tcBorders>
              <w:bottom w:val="single" w:sz="8" w:color="auto"/>
            </w:tcBorders>
            <w:gridSpan w:val="2"/>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193,552</w:t>
            </w:r>
          </w:p>
        </w:tc>
        <w:tc>
          <w:tcPr>
            <w:tcW w:w="38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108,041</w:t>
            </w:r>
          </w:p>
        </w:tc>
        <w:tc>
          <w:tcPr>
            <w:tcW w:w="380" w:type="dxa"/>
            <w:vAlign w:val="bottom"/>
            <w:tcBorders>
              <w:bottom w:val="single" w:sz="8" w:color="auto"/>
            </w:tcBorders>
            <w:gridSpan w:val="2"/>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492,962</w:t>
            </w:r>
          </w:p>
        </w:tc>
        <w:tc>
          <w:tcPr>
            <w:tcW w:w="38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334,259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-145415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-145415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-145415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this Quarterly Report, and our audited consolidated financial statements and related notes for the year ended December 31, 2025, included in our Annual Report on Form 10-K filed with the Securities and Exchange Commission, or SEC, on March 2, 2026.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are a clinical-stage company focused on delivering functional improvement for people living with genetically driven neuromuscular diseases. Our proprietary FORCE platform is designed to leverage the transferrin receptor 1, or TfR1, to deliver targeted therapeutics to muscle tissue and the central nervous system, or CNS. The FORCE platform utilizes an antigen-binding fragment antibody, or Fab, targeting TfR1 linked to a payload that we rationally design to target the genetic basis of the disease we are seeking to treat. With our FORCE platform, we have the flexibility to deploy different classes of payloads (such as oligonucleotides and enzymes) with specific mechanisms of action that modify target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9" w:name="page20"/>
    <w:bookmarkEnd w:id="19"/>
    <w:p>
      <w:pPr>
        <w:ind w:right="320"/>
        <w:spacing w:after="0" w:line="271" w:lineRule="auto"/>
        <w:rPr>
          <w:sz w:val="20"/>
          <w:szCs w:val="20"/>
          <w:color w:val="auto"/>
        </w:rPr>
      </w:pPr>
      <w:r>
        <w:rPr>
          <w:rFonts w:ascii="Arial" w:cs="Arial" w:eastAsia="Arial" w:hAnsi="Arial"/>
          <w:sz w:val="18"/>
          <w:szCs w:val="18"/>
          <w:color w:val="auto"/>
        </w:rPr>
        <w:t>functions. We currently leverage this modularity to focus on neuromuscular diseases with high unmet need, with etiologic targets and with clear translational potential from preclinical disease models to well-defined clinical development and regulatory pathways.</w:t>
      </w:r>
    </w:p>
    <w:p>
      <w:pPr>
        <w:spacing w:after="0" w:line="4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Using our FORCE platform, we are assembling a broad portfolio of product candidates, including product candidates being developed for Duchenne muscular dystrophy, or DMD, myotonic dystrophy type 1, or DM1, facioscapulohumeral dystrophy, or FSHD, and Pompe disease. In addition, we plan to expand our portfolio through development efforts focused on diseases involving the CNS, rare skeletal muscle diseases, and cardiac and metabolic muscle diseases, including some with larger patient populations. We have identified product candidates for each of our DMD, DM1, FSHD and Pompe programs that are in varying stages of preclinical and clinical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DMD</w:t>
      </w:r>
    </w:p>
    <w:p>
      <w:pPr>
        <w:spacing w:after="0" w:line="14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We are developing zeleciment rostudirsen, or z-rostudirsen (also known as DYNE-251), for the treatment of DMD amenable to exon 51 skipping. Z-rostudirsen is designed to enable the production of near full-length dystrophin in muscle and the CNS to provide functional improvement. Z-rostudirsen has received Breakthrough Therapy, Fast Track and Rare Pediatric Disease designations from the U.S. Food and Drug Administration, or FDA, as well as Orphan Drug designation from the FDA, the European Medicines Agency and the Japanese Ministry of Health, Labour and Welfare for the treatment of individuals with DMD, amenable to exon 51 skipping. Additionally, we are advancing four development candidates (DYNE-244, DYNE-245, DYNE-253 and DYNE-255) for the treatment of DMD amenable to skipping of exons 44, 45, 53 and 55, respectively, into IND-enabling studies. In September 2026, we presented preclinical data supporting these programs,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exon-skipping results for each of the four candidates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pharmacokinetic and pharmacodynamic results for DYNE-253.</w:t>
      </w:r>
    </w:p>
    <w:p>
      <w:pPr>
        <w:spacing w:after="0" w:line="18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Z-rostudirsen is currently being evaluated in the long-term extension portion of the DELIVER trial, a global Phase 1/2 clinical trial designed to be registrational, and the FORZETTO trial, a global Phase 3 clinical trial designed to be confirmatory. We have aligned with the FDA on the FORZETTO trial design and protocol. The registrational expansion cohort, or REC, of the global Phase 1/2 DELIVER clinical trial of z-rostudirsen met its primary endpoint. Data from the DELIVER trial served as the basis for the biologics license application, or BLA, that we submitted for U.S. Accelerated Approval in May 2026.</w:t>
      </w:r>
    </w:p>
    <w:p>
      <w:pPr>
        <w:spacing w:after="0" w:line="16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May 2026, we initiated our Phase 3 FORZETTO clinical trial, a global, randomized, placebo-controlled, double-blind, confirmatory Phase 3 trial designed to assess the efficacy, safety, and tolerability of z-rostudirsen administered intravenously to ambulatory male participants with DMD amenable to exon 51 skipping. The trial will enroll approximately 90 participants 4 to 18 years of age who will be randomized 1:1 to receive 20 mg/kg (approximate phosphorodiamidate morpholino oligomer, or PMO dose) of z-rostudirsen or placebo every four weeks (Q4W). The primary endpoint is the change from baseline in rise from floor (RFF) velocity at Week 73. Secondary endpoints include changes from baseline in stride velocity 95th centile (SV95C), North Star Ambulatory Assessment (NSAA) total score, 10-meter walk/run (10MWR) velocity, four-stair climb (4SC) velocity and forced vital capacity percent predicted (FVC%p), as well as additional functional and patient-reported outcome measures. Following the 72-week double-blind placebo-controlled treatment period, participants will be eligible to enroll in a 96-week open-label long-term extension. We have aligned with the FDA on the FORZETTO Phase 3 trial design and protocol. FORZETTO is intended to support conversion of Accelerated Approval, if granted, to traditional approval in the U.S. and to support marketing applications outside the United States.</w:t>
      </w:r>
    </w:p>
    <w:p>
      <w:pPr>
        <w:spacing w:after="0" w:line="17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July 2026, we announced that the FDA accepted for review our BLA for z-rostudirsen for the treatment of individuals with DMD amenable to exon 51 skipping. The FDA has granted the BLA priority review and assigned a Prescription Drug User Fee Act, or PDUFA, target action date of January 21, 2027. We continue to expect a potential U.S. launch of z-rostudirsen in the first quarter of 2027, assuming FDA approval is received on the anticipated timeline.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DM1</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are developing zeleciment basivarsen, or z-basivarsen (also known as DYNE-101), for the treatment of DM1. Z-basivarsen is designed to deliver functional improvement in individuals living with DM1 by reducing toxic nuclear DMPK RNA to release splicing proteins and allow normal mRNA processing. Z-basivarsen has been granted Breakthrough Therapy, Orphan Drug and Fast Track designations by the FDA and Orphan Drug designation by the European Medicines Agency and the Japanese Ministry of Health, Labour and Welfare for the treatment of DM1.</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100"/>
        <w:spacing w:after="0" w:line="253" w:lineRule="auto"/>
        <w:rPr>
          <w:sz w:val="20"/>
          <w:szCs w:val="20"/>
          <w:color w:val="auto"/>
        </w:rPr>
      </w:pPr>
      <w:r>
        <w:rPr>
          <w:rFonts w:ascii="Arial" w:cs="Arial" w:eastAsia="Arial" w:hAnsi="Arial"/>
          <w:sz w:val="18"/>
          <w:szCs w:val="18"/>
          <w:color w:val="auto"/>
        </w:rPr>
        <w:t>Z-basivarsen is currently being evaluated in the long-term extension portion and the REC of the ACHIEVE trial, a global Phase 1/2 clinical trial designed to be registrational, and the HARMONIA trial, a global Phase 3 clinical trial designed to be confirmatory. We have aligned with the FDA on the HARMONIA trial design and protocol.</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March 2026, we initiated our Phase 3 HARMONIA clinical trial, a global, randomized, placebo controlled, double-blind, confirmatory Phase 3 trial designed to assess the multi-system efficacy, safety, and tolerability of z-basivarsen administered intravenously to individuals with DM1. We began dosing patients in July 2026. The trial will enroll approximately 150 participants age 16 and older who will be randomized 1:1 to receive 6.8 mg/kg (approximate antisense oligonucleitide, or ASO, dose) of z-basivarsen or placebo every eight weeks (Q8W). The primary endpoint is the change from baseline in the five times sit to stand (5xSTS) test at week 49. Secondary endpoints include video hand opening time (vHOT), quantitative muscle testing, the 10-Meter Walk/Run test, the Myotonic Dystrophy Health Index, and additional patient-and clinician-reported outcomes. The trial also includes a broad set of exploratory endpoints designed to assess multiple domains of DM1 CNS impact. Following the 48-week double-blind placebo -controlled treatment period, patients will be eligible to enroll in a 24-week long-term extension. HARMONIA is intended to support conversion of Accelerated Approval, if granted, to traditional approval in the U.S. and to support marketing applications outside the United States.</w:t>
      </w:r>
    </w:p>
    <w:p>
      <w:pPr>
        <w:spacing w:after="0" w:line="18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September 2026, we announced additional one-year clinical data from the ACHIEVE trial. Data from a pooled dose group of participants initially enrolled in the MAD portion of ACHIEVE showed functional improvement versus baseline, versus placebo and versus a matched natural history cohort across multiple measures at 12 months.</w:t>
      </w:r>
    </w:p>
    <w:p>
      <w:pPr>
        <w:spacing w:after="0" w:line="16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Separately, the REC of the ACHIEVE trial completed enrollment in June 2026. The primary endpoint is the change from baseline in vHOT at six months. Participants in the REC had a mean baseline value for vHOT of 8.3 seconds (standard deviation at baseline: 6.0 seconds). We plan to announce data from the REC in the first quarter of 2027 to support a potential BLA submission to the FDA for U.S. Accelerated Approval in the third quarter of 2027. We anticipate a potential U.S. launch of z-basivarsen in the first half of 2028, assuming we receive favorable data from the REC, priority review is granted, and FDA approval is received on the anticipated timeline.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FSHD</w:t>
      </w:r>
    </w:p>
    <w:p>
      <w:pPr>
        <w:spacing w:after="0" w:line="14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are developing DYNE-302 for the treatment of FSHD. DYNE-302 is designed to deliver functional improvement in individuals living with FSHD by reducing aberrant DUX4 expression. DYNE-302 leverages the same FORCE platform as our first two clinical programs, z-rostudirsen in DMD amenable to exon 51 skipping and z-basivarsen in DM1.</w:t>
      </w:r>
    </w:p>
    <w:p>
      <w:pPr>
        <w:spacing w:after="0" w:line="8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In June 2024 and June 2025, we announced preclinical data for DYNE-302, our product candidate for FSHD, that demonstrated robust and durable DUX4 suppression and functional benefit in a mouse model. We generated these data using an innovative hTfR1/iFLExD mouse model we developed that expresses TfR1 and enables tunable DUX4 induction in skeletal muscle. In hTfR1/iFLExD mice, a single intravenous dose of DYNE-302 resulted in dose-dependent and robust reduction of the DUX4 transcriptome that lasted up to three months, with benefit on muscle structure. DYNE-302 also demonstrated prevention and reversal of muscle weakness.</w:t>
      </w:r>
    </w:p>
    <w:p>
      <w:pPr>
        <w:spacing w:after="0" w:line="10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July 2026, we announced that we received clearance from the FDA for our investigational new drug, or IND, application to initiate a Phase 1 clinical trial for DYNE-302 in FSHD. We plan to evaluate DYNE-302 in a Phase 1 randomized, placebo-controlled, double-blind, MAD clinical trial in ambulatory adult individuals with FSHD with a primary endpoint of safety and tolerability. The trial will also assess pharmacokinetics and pharmacodynamics, including change from baseline in muscle DUX4 transcriptome and plasma KHDC1L levels.</w:t>
      </w:r>
    </w:p>
    <w:p>
      <w:pPr>
        <w:spacing w:after="0" w:line="10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the first cohort, nine participants will receive three intravenous doses administered every four weeks (Q4W), randomized 2:1 to DYNE-302 1.5 mg/kg (approximate siRNA dose) or placebo. Following the completion of this cohort, we intend to evaluate higher dosing and less frequent administration. Participants who complete the placebo-controlled period may enter an open-label long-term extension and receive DYNE-302 for up to an additional 96 weeks. We intend to pursue a traditional approval pathway in the U.S. for DYNE-302.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Pompe</w:t>
      </w:r>
    </w:p>
    <w:p>
      <w:pPr>
        <w:spacing w:after="0" w:line="129"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We are developing DYNE-401 for the treatment of Pompe disease. DYNE-401 is designed to deliver an enzyme replacement therapy to address the deficiency of the lysosomal enzyme, GAA, that causes Pompe disease. We engineered DYNE-401 by leveraging the FORCE platform to deliver GAA. We evaluated GAA delivery with our FORCE platform in vivo using hTfR1/6Neo mice, that were developed by crossing the well-established 6Neo mouse model of Pompe with mice expressing human transferrin receptor 1. Using this approach, intravenous administration cleared</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ind w:right="180"/>
        <w:spacing w:after="0" w:line="247" w:lineRule="auto"/>
        <w:rPr>
          <w:sz w:val="20"/>
          <w:szCs w:val="20"/>
          <w:color w:val="auto"/>
        </w:rPr>
      </w:pPr>
      <w:r>
        <w:rPr>
          <w:rFonts w:ascii="Arial" w:cs="Arial" w:eastAsia="Arial" w:hAnsi="Arial"/>
          <w:sz w:val="18"/>
          <w:szCs w:val="18"/>
          <w:color w:val="auto"/>
        </w:rPr>
        <w:t>glycogen in muscle and the CNS and normalized lysosomal size in hTfR1/6Neo mice. This approach reduced serum neurofilament light chain, a biomarker of axonal injury, providing evidence of benefit in the CNS and displayed superior dose potency compared to GAA alone. Additional data with this approach supported the potential for monthly dosing, which is less frequent than approved enzyme replacement therapies for Pompe.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expansion</w:t>
      </w:r>
    </w:p>
    <w:p>
      <w:pPr>
        <w:spacing w:after="0" w:line="19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continue to explore additional applications for our proprietary FORCE platform, along with further iterations. To that end, we have identified two compounds, which we refer to as Conjugate 1 and Conjugate 2, utilizing a Fab conjugated to microtubule associated protein tau, or MAPT, siRNA designed to downregulate expression of all MAPT isoforms. Conjugate 1 utilizes our FORCE platform with the same Fab as our other programs. Conjugate 2 utilizes a modified form of the FORCE TfR1-binding Fab that has been further optimized for enhanced central nervous system delivery and potential use in neurological indications. In preclinical studies, both conjugates achieved robust MAPT RNA knockdown (approximately 75% for Conjugate 2) in both mice and nonhuman primates, with widespread and consistent delivery across brain regions, including the deep brain. Subcutaneous administration in mice achieved an equivalent reduction in MAPT RNA as compared to intravenous administration in mice.</w:t>
      </w:r>
    </w:p>
    <w:p>
      <w:pPr>
        <w:spacing w:after="0" w:line="16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While maintaining our core focus on advancing our clinical programs in DMD and DM1, as well as our preclinical pipeline in neuromuscular diseases, we are currently evaluating next steps for the preclinical development of these conjugates.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4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were incorporated and commenced operations in 2017. Since our incorporation, we have devoted substantially all of our financial resources and efforts to organizing and staffing our company, business planning, raising capital, conducting research and development activities and filing and prosecuting patent applications. We do not have any products for sale and have not generated any revenue from product sales or otherwise. To date, we have principally raised capital through sales of equity securities and our borrowings under our Loan and Security Agreement, or the Loan Agreement, with Hercules Capital, Inc., or Hercules.</w:t>
      </w:r>
    </w:p>
    <w:p>
      <w:pPr>
        <w:spacing w:after="0" w:line="2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Since our inception, we have incurred significant operating losses. Our ability to generate any product revenue or product revenue sufficient to achieve profitability will depend on the successful development and eventual commercialization of one or more product candidates. For the nine months ended September 30, 2026 and 2025, we reported net losses of $493.0 million and $334.3 million, respectively. As of September 30, 2026, we had an accumulated deficit of $1,889 million.</w:t>
      </w:r>
    </w:p>
    <w:p>
      <w:pPr>
        <w:spacing w:after="0" w:line="16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expect that our expenses and capital expenditure requirements will increase substantially in connection with our ongoing activities, particularly if and as we:</w:t>
      </w:r>
    </w:p>
    <w:p>
      <w:pPr>
        <w:spacing w:after="0" w:line="46"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advance our product candidates for DMD, DM1, FSHD and Pompe and conduct research programs in additional indications;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capabilities of our proprietary FORCE platform;</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obtain, expand, maintain, defend and enforce our intellectual property portfolio;</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clinical, regulatory, scientific, medical affairs and commercial operations personnel;</w:t>
      </w:r>
    </w:p>
    <w:p>
      <w:pPr>
        <w:spacing w:after="0" w:line="116" w:lineRule="exact"/>
        <w:rPr>
          <w:rFonts w:ascii="Times New Roman" w:cs="Times New Roman" w:eastAsia="Times New Roman" w:hAnsi="Times New Roman"/>
          <w:sz w:val="18"/>
          <w:szCs w:val="18"/>
          <w:color w:val="auto"/>
        </w:rPr>
      </w:pPr>
    </w:p>
    <w:p>
      <w:pPr>
        <w:ind w:left="760" w:right="60" w:hanging="378"/>
        <w:spacing w:after="0" w:line="252"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manufacturing sources for any product candidate we may develop, including the Fab, linkers and therapeutic payload that will comprise the product candidate, and secure supply chain capacity to provide sufficient quantities for preclinical and clinical development and commercial supply;</w:t>
      </w:r>
    </w:p>
    <w:p>
      <w:pPr>
        <w:spacing w:after="0" w:line="62" w:lineRule="exact"/>
        <w:rPr>
          <w:rFonts w:ascii="Times New Roman" w:cs="Times New Roman" w:eastAsia="Times New Roman" w:hAnsi="Times New Roman"/>
          <w:sz w:val="18"/>
          <w:szCs w:val="18"/>
          <w:color w:val="auto"/>
        </w:rPr>
      </w:pPr>
    </w:p>
    <w:p>
      <w:pPr>
        <w:ind w:left="760" w:right="60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46"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add operational, legal, compliance, financial and management information systems and personnel to support our research, product development and future commercialization efforts, as well as to support our operations as a public company.</w:t>
      </w:r>
    </w:p>
    <w:p>
      <w:pPr>
        <w:spacing w:after="0" w:line="141"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regulatory approval for any product candidates we may develop. If we obtain regulatory approval for or otherwise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right="60"/>
        <w:spacing w:after="0" w:line="253" w:lineRule="auto"/>
        <w:rPr>
          <w:sz w:val="20"/>
          <w:szCs w:val="20"/>
          <w:color w:val="auto"/>
        </w:rPr>
      </w:pPr>
      <w:r>
        <w:rPr>
          <w:rFonts w:ascii="Arial" w:cs="Arial" w:eastAsia="Arial" w:hAnsi="Arial"/>
          <w:sz w:val="18"/>
          <w:szCs w:val="18"/>
          <w:color w:val="auto"/>
        </w:rPr>
        <w:t>commercialize any product candidates we may develop, we expect to incur significant expenses related to developing our commercialization capabilities to support product sales, marketing and distribution. Further, we expect to continue to incur additional costs associated with operating as a public company.</w:t>
      </w:r>
    </w:p>
    <w:p>
      <w:pPr>
        <w:spacing w:after="0" w:line="155"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and term loans under our Loan Agreement with Hercules. We may be unable to raise additional funds or enter into such other agreements or arrangements when needed, on favorable terms, or at all. If we fail to raise capital or enter into such agreements or arrangements as and when needed, we may have to significantly delay, reduce or eliminate the development or future commercialization of one or more product candidates we may develop.</w:t>
      </w:r>
    </w:p>
    <w:p>
      <w:pPr>
        <w:spacing w:after="0" w:line="16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76"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We believe that our cash, cash equivalents and marketable securities as of September 30, 2026 will enable us to fund our operating expenses, debt service obligations and capital expenditure requirements into the second quarter of 2028.</w:t>
      </w:r>
    </w:p>
    <w:p>
      <w:pPr>
        <w:spacing w:after="0" w:line="14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have based our estimate as to how long we expect we will be able to fund our operations, debt service obligations and capital expenditure requirements on assumptions that may prove to be wrong.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 See “—Liquidity and capital resources” below. These estimates do not give effect to any additional funding tranches we may obtain access to under our Loan Agreement with Hercules, subject to the achievement of specified clinical, regulatory and commercial milestones, and do not give effect to any revenue we may generate on commercial sales of any products for which we obtain regulatory approval.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tariffs</w:t>
      </w:r>
    </w:p>
    <w:p>
      <w:pPr>
        <w:spacing w:after="0" w:line="10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U.S. administration has announced or imposed multiple series of tariffs on U.S. trading partners. In response, several countries have threatened or imposed retaliatory measures, and multiple states have challenged these tariffs in court. While we have not experienced, and do not currently expect to experience, significant direct impact from these tariffs or retaliatory measures, the uncertainty surrounding the future of U.S. trade policy may negatively impact our supply chain operations and the costs of materials and production processes. Supply chain disruptions may impact the development, testing and clinical trials of our product candidates, and regulatory approval or commercial launch of any resulting product may be delayed or not obtained, which could significantly harm our business. The full extent of the future impact of these and other threatened measures remains uncertain. We continue to monitor these tariffs, retaliatory measures, and related litigation, and their possible effects on our business. See Part II, Item 1A. “Risk Factors—Risks related to regulatory approval and other regulatory and legal compliance matters” in this Quarterly Report for additional risks associated with current U.S. trade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have not generated any revenue since our inception and do not expect to generate any revenue from the sale of products at least until 2027, if at all. If our development efforts are successful and we commercialize products,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color w:val="auto"/>
        </w:rPr>
        <w:t>Research and development expenses consist primarily of costs incurred for our research activities and development of our product candidates. These expenses include:</w:t>
      </w:r>
    </w:p>
    <w:p>
      <w:pPr>
        <w:spacing w:after="0" w:line="46"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 and operation of our proprietary FORCE platform;</w:t>
      </w:r>
    </w:p>
    <w:p>
      <w:pPr>
        <w:spacing w:after="0" w:line="62"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including salaries, related benefits and stock-based compensation expense, for employees engaged in research and development functions;</w:t>
      </w:r>
    </w:p>
    <w:p>
      <w:pPr>
        <w:spacing w:after="0" w:line="1" w:lineRule="exact"/>
        <w:rPr>
          <w:rFonts w:ascii="Times New Roman" w:cs="Times New Roman" w:eastAsia="Times New Roman" w:hAnsi="Times New Roman"/>
          <w:sz w:val="18"/>
          <w:szCs w:val="18"/>
          <w:color w:val="auto"/>
        </w:rPr>
      </w:pPr>
    </w:p>
    <w:p>
      <w:pPr>
        <w:ind w:left="760" w:right="160" w:hanging="378"/>
        <w:spacing w:after="0" w:line="252"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expenses incurred in connection with our research programs and development of our product candidates, including those incurred under agreements with third parties, such as consultants and contract research organizations, or CROs, to conduct preclinical studies and clinical trials;</w:t>
      </w:r>
    </w:p>
    <w:p>
      <w:pPr>
        <w:spacing w:after="0" w:line="8" w:lineRule="exact"/>
        <w:rPr>
          <w:rFonts w:ascii="Times New Roman" w:cs="Times New Roman" w:eastAsia="Times New Roman" w:hAnsi="Times New Roman"/>
          <w:sz w:val="18"/>
          <w:szCs w:val="18"/>
          <w:color w:val="auto"/>
        </w:rPr>
      </w:pPr>
    </w:p>
    <w:p>
      <w:pPr>
        <w:ind w:left="760" w:right="300" w:hanging="378"/>
        <w:spacing w:after="0" w:line="252"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laboratory supplies and acquiring, developing and manufacturing materials for use in our research, preclinical studies and clinical trials, including those incurred under agreements with third parties, such as consultants and contract manufacturing organizations, or CMOs;</w:t>
      </w:r>
    </w:p>
    <w:p>
      <w:pPr>
        <w:spacing w:after="0" w:line="8" w:lineRule="exact"/>
        <w:rPr>
          <w:rFonts w:ascii="Times New Roman" w:cs="Times New Roman" w:eastAsia="Times New Roman" w:hAnsi="Times New Roman"/>
          <w:sz w:val="18"/>
          <w:szCs w:val="18"/>
          <w:color w:val="auto"/>
        </w:rPr>
      </w:pPr>
    </w:p>
    <w:p>
      <w:pPr>
        <w:ind w:left="760" w:right="380" w:hanging="378"/>
        <w:spacing w:after="0" w:line="265"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facilities, depreciation and other expenses, which include direct or allocated expenses for rent and maintenance of facilities and insurance; and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compliance with regulatory requirements.</w:t>
      </w:r>
    </w:p>
    <w:p>
      <w:pPr>
        <w:spacing w:after="0" w:line="21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expense research and development costs as incurred. Advance payments that we make for goods or services to be received in the future for use in research and development activities are recorded as prepaid expenses. The prepaid amounts are expensed as the related goods are delivered or the services are performed.</w:t>
      </w:r>
    </w:p>
    <w:p>
      <w:pPr>
        <w:spacing w:after="0" w:line="15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direct external research and development expenses consist of costs that include fees, reimbursed materials and other costs paid to consultants, contractors, CMOs and CROs in connection with our development, manufacturing and clinical activities. We have not allocated our direct external research and development costs to specific programs or product candidates that are not in clinical development.</w:t>
      </w:r>
    </w:p>
    <w:p>
      <w:pPr>
        <w:spacing w:after="0" w:line="15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Accordingly, we expect that our research and development expenses will increase substantially as we advance z-rostudirsen and z-basivarsen through clinical trials, in connection with our preclinical and clinical development activities of DYNE-302, our FSHD product candidate, and DYNE-401, our Pompe disease product candidate, and if, and as, we advance any other product candidates through preclinical studies and clinical trials.</w:t>
      </w:r>
    </w:p>
    <w:p>
      <w:pPr>
        <w:spacing w:after="0" w:line="16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At this time, we cannot accurately estimate or know the nature, timing and costs of the efforts that will be necessary to complete the preclinical and clinical development of any product candidates we may develop. In particular, manufacturing costs may vary significantly from quarter to quarter. For the full year 2026, we expect manufacturing costs to increase progressively each quarter as a result of long lead times to build supply and we project manufacturing costs for z-rostudirsen, z-basivarsen and other pipeline product candidates to represent 55-65% of total research and development expenses for the full year 2026. Further, we project clinical trial costs related to z-rostudirsen, z-basivarsen and other pipeline product candidates to represent 10-20% of total research and development expenses for the full year 2026.</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successful development of any product candidate is highly uncertain. This is due to the numerous risks and uncertainties associated with product development, including the following:</w:t>
      </w:r>
    </w:p>
    <w:p>
      <w:pPr>
        <w:spacing w:after="0" w:line="46"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progress of preclinical and clinical development activities;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programs we decide to pursue and their regulatory paths to market;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raise funding to complete preclinical and clinical development of any product candidates we may develop;</w:t>
      </w:r>
    </w:p>
    <w:p>
      <w:pPr>
        <w:spacing w:after="0" w:line="116"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new licensing or collaboration arrangements and the progress of the development efforts of third parties with whom we may enter into such arrangements;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our current research and development programs and to establish new programs;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4" w:name="page25"/>
    <w:bookmarkEnd w:id="24"/>
    <w:p>
      <w:pPr>
        <w:ind w:left="760" w:right="120" w:hanging="378"/>
        <w:spacing w:after="0" w:line="270"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46" w:lineRule="exact"/>
        <w:rPr>
          <w:rFonts w:ascii="Times New Roman" w:cs="Times New Roman" w:eastAsia="Times New Roman" w:hAnsi="Times New Roman"/>
          <w:sz w:val="18"/>
          <w:szCs w:val="18"/>
          <w:color w:val="auto"/>
        </w:rPr>
      </w:pPr>
    </w:p>
    <w:p>
      <w:pPr>
        <w:ind w:left="760" w:right="460" w:hanging="378"/>
        <w:spacing w:after="0" w:line="270"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related terms of regulatory approvals from applicable regulatory authorities for any product candidates we may develop;</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specialty raw materials for use in production of any product candidate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supply of product candidate components for our clinical trials;</w:t>
      </w:r>
    </w:p>
    <w:p>
      <w:pPr>
        <w:spacing w:after="0" w:line="116" w:lineRule="exact"/>
        <w:rPr>
          <w:rFonts w:ascii="Times New Roman" w:cs="Times New Roman" w:eastAsia="Times New Roman" w:hAnsi="Times New Roman"/>
          <w:sz w:val="18"/>
          <w:szCs w:val="18"/>
          <w:color w:val="auto"/>
        </w:rPr>
      </w:pPr>
    </w:p>
    <w:p>
      <w:pPr>
        <w:ind w:left="760" w:right="860" w:hanging="378"/>
        <w:spacing w:after="0" w:line="270"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patents, trade secret protection and regulatory exclusivity, both in the United States and internationally;</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protect our other rights in our intellectual property portfolio;</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third-party insurance coverage and adequate reimbursement for any approved products.</w:t>
      </w:r>
    </w:p>
    <w:p>
      <w:pPr>
        <w:spacing w:after="0" w:line="21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product candidate we may develop could significantly change the costs and timing associated with the development of that product candidate. We may never succeed in obtaining regulatory approval for any product candidate we may develop.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related benefits and stock-based compensation, for employees in executive, finance, corporate and business development, commercial and administrative functions. General and administrative expenses also include legal fees relating to patent and corporate matters; professional fees for accounting, auditing, tax and administrative consulting services; insurance costs; administrative travel expenses; commercial readiness activities; and facility-related expenses, which include allocated expenses for rent, depreciation and maintenance of facilities and other operating costs.</w:t>
      </w:r>
    </w:p>
    <w:p>
      <w:pPr>
        <w:spacing w:after="0" w:line="16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growth strategy. In addition, if we obtain regulatory approval for a product candidate and do not enter into a third-party commercialization collaboration, we expect to incur significant expenses related to building a sales and marketing team to support product sales, marketing and distribution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our cash, cash equivalents and marketable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Interest expense consists of amortization of debt issuance costs and discount and interest expense under the Loan Agreement with Hercules and interest expense from our vendor financing arrangement.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realized gains and losses on sales of marketable securities and foreign currency gains and losses.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any year or for our earned research and development tax credits, due to our uncertainty of realizing a benefit from those items.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2026 and 2025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6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161,744</w:t>
            </w:r>
          </w:p>
        </w:tc>
        <w:tc>
          <w:tcPr>
            <w:tcW w:w="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97,219</w:t>
            </w:r>
          </w:p>
        </w:tc>
        <w:tc>
          <w:tcPr>
            <w:tcW w:w="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64,525</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35,330</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16,673</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18,657</w:t>
            </w:r>
          </w:p>
        </w:tc>
        <w:tc>
          <w:tcPr>
            <w:tcW w:w="0" w:type="dxa"/>
            <w:vAlign w:val="bottom"/>
          </w:tcPr>
          <w:p>
            <w:pPr>
              <w:spacing w:after="0"/>
              <w:rPr>
                <w:sz w:val="1"/>
                <w:szCs w:val="1"/>
                <w:color w:val="auto"/>
              </w:rPr>
            </w:pPr>
          </w:p>
        </w:tc>
      </w:tr>
      <w:tr>
        <w:trPr>
          <w:trHeight w:val="196"/>
        </w:trPr>
        <w:tc>
          <w:tcPr>
            <w:tcW w:w="664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197,074</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113,892</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83,182</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(197,074)</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(113,892)</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(83,182)</w:t>
            </w: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9,767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8,476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02"/>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(5,949)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(2,904)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(296)</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279</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196"/>
        </w:trPr>
        <w:tc>
          <w:tcPr>
            <w:tcW w:w="6640" w:type="dxa"/>
            <w:vAlign w:val="bottom"/>
          </w:tcPr>
          <w:p>
            <w:pPr>
              <w:ind w:left="420"/>
              <w:spacing w:after="0" w:line="196" w:lineRule="exact"/>
              <w:rPr>
                <w:sz w:val="20"/>
                <w:szCs w:val="20"/>
                <w:color w:val="auto"/>
              </w:rPr>
            </w:pPr>
            <w:r>
              <w:rPr>
                <w:rFonts w:ascii="Arial" w:cs="Arial" w:eastAsia="Arial" w:hAnsi="Arial"/>
                <w:sz w:val="18"/>
                <w:szCs w:val="18"/>
                <w:color w:val="auto"/>
              </w:rPr>
              <w:t>Total other income (expense), net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3,522</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5,851</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(193,552)</w:t>
            </w:r>
          </w:p>
        </w:tc>
        <w:tc>
          <w:tcPr>
            <w:tcW w:w="440" w:type="dxa"/>
            <w:vAlign w:val="bottom"/>
            <w:tcBorders>
              <w:bottom w:val="single" w:sz="8" w:color="auto"/>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(108,041)</w:t>
            </w:r>
          </w:p>
        </w:tc>
        <w:tc>
          <w:tcPr>
            <w:tcW w:w="400" w:type="dxa"/>
            <w:vAlign w:val="bottom"/>
            <w:tcBorders>
              <w:bottom w:val="single" w:sz="8" w:color="auto"/>
            </w:tcBorders>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-1079500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-1079500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-805180</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-805180</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-282575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-282575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September 30,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1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line="196" w:lineRule="exact"/>
              <w:rPr>
                <w:sz w:val="20"/>
                <w:szCs w:val="20"/>
                <w:color w:val="auto"/>
              </w:rPr>
            </w:pPr>
            <w:r>
              <w:rPr>
                <w:rFonts w:ascii="Arial" w:cs="Arial" w:eastAsia="Arial" w:hAnsi="Arial"/>
                <w:sz w:val="18"/>
                <w:szCs w:val="18"/>
                <w:b w:val="1"/>
                <w:bCs w:val="1"/>
                <w:color w:val="auto"/>
              </w:rPr>
              <w:t>Direct research and development expenses by product candidate:</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Z-rostudirsen (DMD)</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66,877</w:t>
            </w:r>
          </w:p>
        </w:tc>
        <w:tc>
          <w:tcPr>
            <w:tcW w:w="4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22,666</w:t>
            </w:r>
          </w:p>
        </w:tc>
        <w:tc>
          <w:tcPr>
            <w:tcW w:w="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44,211</w:t>
            </w:r>
          </w:p>
        </w:tc>
        <w:tc>
          <w:tcPr>
            <w:tcW w:w="0" w:type="dxa"/>
            <w:vAlign w:val="bottom"/>
          </w:tcPr>
          <w:p>
            <w:pPr>
              <w:spacing w:after="0"/>
              <w:rPr>
                <w:sz w:val="1"/>
                <w:szCs w:val="1"/>
                <w:color w:val="auto"/>
              </w:rPr>
            </w:pPr>
          </w:p>
        </w:tc>
      </w:tr>
      <w:tr>
        <w:trPr>
          <w:trHeight w:val="203"/>
        </w:trPr>
        <w:tc>
          <w:tcPr>
            <w:tcW w:w="6140" w:type="dxa"/>
            <w:vAlign w:val="bottom"/>
          </w:tcPr>
          <w:p>
            <w:pPr>
              <w:ind w:left="260"/>
              <w:spacing w:after="0" w:line="202" w:lineRule="exact"/>
              <w:rPr>
                <w:sz w:val="20"/>
                <w:szCs w:val="20"/>
                <w:color w:val="auto"/>
              </w:rPr>
            </w:pPr>
            <w:r>
              <w:rPr>
                <w:rFonts w:ascii="Arial" w:cs="Arial" w:eastAsia="Arial" w:hAnsi="Arial"/>
                <w:sz w:val="18"/>
                <w:szCs w:val="18"/>
                <w:color w:val="auto"/>
              </w:rPr>
              <w:t>Z-basivarsen (DM1)</w:t>
            </w:r>
          </w:p>
        </w:tc>
        <w:tc>
          <w:tcPr>
            <w:tcW w:w="240" w:type="dxa"/>
            <w:vAlign w:val="bottom"/>
          </w:tcPr>
          <w:p>
            <w:pPr>
              <w:spacing w:after="0"/>
              <w:rPr>
                <w:sz w:val="17"/>
                <w:szCs w:val="17"/>
                <w:color w:val="auto"/>
              </w:rPr>
            </w:pPr>
          </w:p>
        </w:tc>
        <w:tc>
          <w:tcPr>
            <w:tcW w:w="1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32,816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37,853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b w:val="1"/>
                <w:bCs w:val="1"/>
                <w:color w:val="auto"/>
              </w:rPr>
              <w:t>Unallocated research and development expenses: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260"/>
              <w:spacing w:after="0" w:line="202" w:lineRule="exact"/>
              <w:rPr>
                <w:sz w:val="20"/>
                <w:szCs w:val="20"/>
                <w:color w:val="auto"/>
              </w:rPr>
            </w:pPr>
            <w:r>
              <w:rPr>
                <w:rFonts w:ascii="Arial" w:cs="Arial" w:eastAsia="Arial" w:hAnsi="Arial"/>
                <w:sz w:val="18"/>
                <w:szCs w:val="18"/>
                <w:color w:val="auto"/>
              </w:rPr>
              <w:t>Platform and external research and development</w:t>
            </w:r>
          </w:p>
        </w:tc>
        <w:tc>
          <w:tcPr>
            <w:tcW w:w="240" w:type="dxa"/>
            <w:vAlign w:val="bottom"/>
          </w:tcPr>
          <w:p>
            <w:pPr>
              <w:spacing w:after="0"/>
              <w:rPr>
                <w:sz w:val="17"/>
                <w:szCs w:val="17"/>
                <w:color w:val="auto"/>
              </w:rPr>
            </w:pPr>
          </w:p>
        </w:tc>
        <w:tc>
          <w:tcPr>
            <w:tcW w:w="1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21,464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5,769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Personnel related (including stock-based compensation)</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29,198</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23,811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03"/>
        </w:trPr>
        <w:tc>
          <w:tcPr>
            <w:tcW w:w="6140" w:type="dxa"/>
            <w:vAlign w:val="bottom"/>
          </w:tcPr>
          <w:p>
            <w:pPr>
              <w:ind w:left="260"/>
              <w:spacing w:after="0" w:line="202" w:lineRule="exact"/>
              <w:rPr>
                <w:sz w:val="20"/>
                <w:szCs w:val="20"/>
                <w:color w:val="auto"/>
              </w:rPr>
            </w:pPr>
            <w:r>
              <w:rPr>
                <w:rFonts w:ascii="Arial" w:cs="Arial" w:eastAsia="Arial" w:hAnsi="Arial"/>
                <w:sz w:val="18"/>
                <w:szCs w:val="18"/>
                <w:color w:val="auto"/>
              </w:rPr>
              <w:t>Facility-related and other</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11,389</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7,120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b w:val="1"/>
                <w:bCs w:val="1"/>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161,744</w:t>
            </w:r>
          </w:p>
        </w:tc>
        <w:tc>
          <w:tcPr>
            <w:tcW w:w="480" w:type="dxa"/>
            <w:vAlign w:val="bottom"/>
            <w:tcBorders>
              <w:bottom w:val="single" w:sz="8" w:color="auto"/>
            </w:tcBorders>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97,219</w:t>
            </w:r>
          </w:p>
        </w:tc>
        <w:tc>
          <w:tcPr>
            <w:tcW w:w="440" w:type="dxa"/>
            <w:vAlign w:val="bottom"/>
            <w:tcBorders>
              <w:bottom w:val="single" w:sz="8" w:color="auto"/>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64,525</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z-rostudirsen increased in the three months ended September 30, 2026 compared to the three months ended September 30, 2025. This was attributable to increased manufacturing activity in the third quarter of 2026 of drug substance and components primarily for clinical supply for the long-term extension of the DELIVER trial and the FORZETTO trial. Additionally, higher clinical costs were incurred in the third quarter of 2026 due to increased activity in the FORZETTO trial. Expenses related to z-basivarsen decreased in the three months ended September 30, 2026 compared to the three months ended September 30, 2025. This was primarily attributable to higher manufacturing activity in the third quarter of 2025 of drug substance for clinical supply. This decrease was partially offset by higher clinical costs in the third quarter of 2026 due to the ongoing registrational expansion cohort of the ACHIEVE trial and continued enrollment in the HARMONIA trial.</w:t>
      </w:r>
    </w:p>
    <w:p>
      <w:pPr>
        <w:spacing w:after="0" w:line="16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increase in platform and external research and development expenses in the three months ended September 30, 2026 compared to the three months ended September 30, 2025 was due to increased external research activity associated with our preclinical programs and product candidates. The increase in personnel-related expenses was primarily due to the increase of 35 employees in our research and development headcount and higher stock-based compensation expense for awards granted to new hires and existing employees. The increase in facility-related and other expenses was primarily due to the increased costs of supporting a larger number of research and development personnel.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general and administrative expenses for the three months ended September 30,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Personnel-related</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11,100</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4,964</w:t>
            </w:r>
          </w:p>
        </w:tc>
        <w:tc>
          <w:tcPr>
            <w:tcW w:w="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02"/>
        </w:trPr>
        <w:tc>
          <w:tcPr>
            <w:tcW w:w="664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7"/>
                <w:szCs w:val="17"/>
                <w:color w:val="auto"/>
              </w:rPr>
            </w:pPr>
          </w:p>
        </w:tc>
        <w:tc>
          <w:tcPr>
            <w:tcW w:w="12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8,174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4,824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12,609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4,557</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Facility-related and other</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3,447</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2,328</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general and administrative expenses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35,330</w:t>
            </w:r>
          </w:p>
        </w:tc>
        <w:tc>
          <w:tcPr>
            <w:tcW w:w="440" w:type="dxa"/>
            <w:vAlign w:val="bottom"/>
            <w:tcBorders>
              <w:bottom w:val="single" w:sz="8" w:color="auto"/>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16,673</w:t>
            </w:r>
          </w:p>
        </w:tc>
        <w:tc>
          <w:tcPr>
            <w:tcW w:w="400" w:type="dxa"/>
            <w:vAlign w:val="bottom"/>
            <w:tcBorders>
              <w:bottom w:val="single" w:sz="8" w:color="auto"/>
            </w:tcBorders>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18,657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increase in personnel-related and stock-based compensation expenses in the three months ended September 30, 2026 compared to the three months ended September 30, 2025 was due to the increase of 47 employees in our general and administrative headcount. Professional and consulting fees increased due to higher consulting costs for the preparation activities for the potential launch of z-rostudirsen and the overall growth of the organization in the three months ended September 30, 2026. Facility-related and other expenses increased due to higher costs of supporting a larger number of general and administrative personnel in the three months ended September 30,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0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Interest income for the three months ended September 30, 2026 and 2025 was $9.8 million and $8.5 million, respectively, due to interest earned on invested cash balances. The increase in interest income was due to increased cash, cash equivalents and marketable securities balances in the three months ended September 30, 2026 compared to the three months ended September 30, 2025.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2"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Interest expense for the three months ended September 30, 2026 was $5.9 million due to our Loan Agreement with Hercules and interest owed on our vendor financing arrangement. Interest expense for the three months ended September 30, 2025 was $2.9 million due to our Loan Agreement with Hercules.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0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Other expense, net, was $0.3 million for the three months ended September 30, 2026 due to realized foreign currency losses. Other income, net, was $0.3 million for the three months ended September 30, 2025 due to realized foreign currency gains.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2026 and 2025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320" w:type="dxa"/>
            <w:vAlign w:val="bottom"/>
            <w:tcBorders>
              <w:bottom w:val="single" w:sz="8" w:color="auto"/>
            </w:tcBorders>
            <w:vMerge w:val="continue"/>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2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414,918</w:t>
            </w:r>
          </w:p>
        </w:tc>
        <w:tc>
          <w:tcPr>
            <w:tcW w:w="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302,902</w:t>
            </w:r>
          </w:p>
        </w:tc>
        <w:tc>
          <w:tcPr>
            <w:tcW w:w="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112,016</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89,093</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49,153</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39,940</w:t>
            </w:r>
          </w:p>
        </w:tc>
        <w:tc>
          <w:tcPr>
            <w:tcW w:w="0" w:type="dxa"/>
            <w:vAlign w:val="bottom"/>
          </w:tcPr>
          <w:p>
            <w:pPr>
              <w:spacing w:after="0"/>
              <w:rPr>
                <w:sz w:val="1"/>
                <w:szCs w:val="1"/>
                <w:color w:val="auto"/>
              </w:rPr>
            </w:pPr>
          </w:p>
        </w:tc>
      </w:tr>
      <w:tr>
        <w:trPr>
          <w:trHeight w:val="196"/>
        </w:trPr>
        <w:tc>
          <w:tcPr>
            <w:tcW w:w="432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2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504,011</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352,055</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151,956</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(504,011)</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(352,055)</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(151,956)</w:t>
            </w:r>
          </w:p>
        </w:tc>
        <w:tc>
          <w:tcPr>
            <w:tcW w:w="0" w:type="dxa"/>
            <w:vAlign w:val="bottom"/>
          </w:tcPr>
          <w:p>
            <w:pPr>
              <w:spacing w:after="0"/>
              <w:rPr>
                <w:sz w:val="1"/>
                <w:szCs w:val="1"/>
                <w:color w:val="auto"/>
              </w:rPr>
            </w:pPr>
          </w:p>
        </w:tc>
      </w:tr>
      <w:tr>
        <w:trPr>
          <w:trHeight w:val="196"/>
        </w:trPr>
        <w:tc>
          <w:tcPr>
            <w:tcW w:w="432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26,312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22,202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03"/>
        </w:trPr>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(14,746)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(2,998)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(11,748)</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expense, net</w:t>
            </w:r>
          </w:p>
        </w:tc>
        <w:tc>
          <w:tcPr>
            <w:tcW w:w="2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(517)</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(1,408)</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196"/>
        </w:trPr>
        <w:tc>
          <w:tcPr>
            <w:tcW w:w="4320" w:type="dxa"/>
            <w:vAlign w:val="bottom"/>
          </w:tcPr>
          <w:p>
            <w:pPr>
              <w:ind w:left="420"/>
              <w:spacing w:after="0" w:line="196" w:lineRule="exact"/>
              <w:rPr>
                <w:sz w:val="20"/>
                <w:szCs w:val="20"/>
                <w:color w:val="auto"/>
              </w:rPr>
            </w:pPr>
            <w:r>
              <w:rPr>
                <w:rFonts w:ascii="Arial" w:cs="Arial" w:eastAsia="Arial" w:hAnsi="Arial"/>
                <w:sz w:val="18"/>
                <w:szCs w:val="18"/>
                <w:color w:val="auto"/>
              </w:rPr>
              <w:t>Total other income (expense), net</w:t>
            </w:r>
          </w:p>
        </w:tc>
        <w:tc>
          <w:tcPr>
            <w:tcW w:w="2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11,049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17,796</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(6,747)</w:t>
            </w:r>
          </w:p>
        </w:tc>
        <w:tc>
          <w:tcPr>
            <w:tcW w:w="0" w:type="dxa"/>
            <w:vAlign w:val="bottom"/>
          </w:tcPr>
          <w:p>
            <w:pPr>
              <w:spacing w:after="0"/>
              <w:rPr>
                <w:sz w:val="1"/>
                <w:szCs w:val="1"/>
                <w:color w:val="auto"/>
              </w:rPr>
            </w:pPr>
          </w:p>
        </w:tc>
      </w:tr>
      <w:tr>
        <w:trPr>
          <w:trHeight w:val="19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25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(492,962)</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(334,259)</w:t>
            </w:r>
          </w:p>
        </w:tc>
        <w:tc>
          <w:tcPr>
            <w:tcW w:w="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(158,703)</w:t>
            </w:r>
          </w:p>
        </w:tc>
        <w:tc>
          <w:tcPr>
            <w:tcW w:w="0" w:type="dxa"/>
            <w:vAlign w:val="bottom"/>
          </w:tcPr>
          <w:p>
            <w:pPr>
              <w:spacing w:after="0"/>
              <w:rPr>
                <w:sz w:val="1"/>
                <w:szCs w:val="1"/>
                <w:color w:val="auto"/>
              </w:rPr>
            </w:pPr>
          </w:p>
        </w:tc>
      </w:tr>
      <w:tr>
        <w:trPr>
          <w:trHeight w:val="808"/>
        </w:trPr>
        <w:tc>
          <w:tcPr>
            <w:tcW w:w="432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jc w:val="right"/>
              <w:ind w:right="830"/>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3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-2082165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-2082165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-1807845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-1807845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-1285240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-1285240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for the nine months ended September 30,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14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line="196" w:lineRule="exact"/>
              <w:rPr>
                <w:sz w:val="20"/>
                <w:szCs w:val="20"/>
                <w:color w:val="auto"/>
              </w:rPr>
            </w:pPr>
            <w:r>
              <w:rPr>
                <w:rFonts w:ascii="Arial" w:cs="Arial" w:eastAsia="Arial" w:hAnsi="Arial"/>
                <w:sz w:val="18"/>
                <w:szCs w:val="18"/>
                <w:b w:val="1"/>
                <w:bCs w:val="1"/>
                <w:color w:val="auto"/>
              </w:rPr>
              <w:t>Direct research and development expenses by product candidate:</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Z-rostudirsen (DMD)</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156,946</w:t>
            </w:r>
          </w:p>
        </w:tc>
        <w:tc>
          <w:tcPr>
            <w:tcW w:w="4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73,314</w:t>
            </w:r>
          </w:p>
        </w:tc>
        <w:tc>
          <w:tcPr>
            <w:tcW w:w="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83,632</w:t>
            </w:r>
          </w:p>
        </w:tc>
        <w:tc>
          <w:tcPr>
            <w:tcW w:w="0" w:type="dxa"/>
            <w:vAlign w:val="bottom"/>
          </w:tcPr>
          <w:p>
            <w:pPr>
              <w:spacing w:after="0"/>
              <w:rPr>
                <w:sz w:val="1"/>
                <w:szCs w:val="1"/>
                <w:color w:val="auto"/>
              </w:rPr>
            </w:pPr>
          </w:p>
        </w:tc>
      </w:tr>
      <w:tr>
        <w:trPr>
          <w:trHeight w:val="203"/>
        </w:trPr>
        <w:tc>
          <w:tcPr>
            <w:tcW w:w="6140" w:type="dxa"/>
            <w:vAlign w:val="bottom"/>
          </w:tcPr>
          <w:p>
            <w:pPr>
              <w:ind w:left="260"/>
              <w:spacing w:after="0" w:line="202" w:lineRule="exact"/>
              <w:rPr>
                <w:sz w:val="20"/>
                <w:szCs w:val="20"/>
                <w:color w:val="auto"/>
              </w:rPr>
            </w:pPr>
            <w:r>
              <w:rPr>
                <w:rFonts w:ascii="Arial" w:cs="Arial" w:eastAsia="Arial" w:hAnsi="Arial"/>
                <w:sz w:val="18"/>
                <w:szCs w:val="18"/>
                <w:color w:val="auto"/>
              </w:rPr>
              <w:t>Z-basivarsen (DM1)</w:t>
            </w:r>
          </w:p>
        </w:tc>
        <w:tc>
          <w:tcPr>
            <w:tcW w:w="260" w:type="dxa"/>
            <w:vAlign w:val="bottom"/>
          </w:tcPr>
          <w:p>
            <w:pPr>
              <w:spacing w:after="0"/>
              <w:rPr>
                <w:sz w:val="17"/>
                <w:szCs w:val="17"/>
                <w:color w:val="auto"/>
              </w:rPr>
            </w:pPr>
          </w:p>
        </w:tc>
        <w:tc>
          <w:tcPr>
            <w:tcW w:w="13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96,577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117,964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(21,387)</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b w:val="1"/>
                <w:bCs w:val="1"/>
                <w:color w:val="auto"/>
              </w:rPr>
              <w:t>Unallocated research and development expenses: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260"/>
              <w:spacing w:after="0" w:line="202" w:lineRule="exact"/>
              <w:rPr>
                <w:sz w:val="20"/>
                <w:szCs w:val="20"/>
                <w:color w:val="auto"/>
              </w:rPr>
            </w:pPr>
            <w:r>
              <w:rPr>
                <w:rFonts w:ascii="Arial" w:cs="Arial" w:eastAsia="Arial" w:hAnsi="Arial"/>
                <w:sz w:val="18"/>
                <w:szCs w:val="18"/>
                <w:color w:val="auto"/>
              </w:rPr>
              <w:t>Platform and external research and development</w:t>
            </w:r>
          </w:p>
        </w:tc>
        <w:tc>
          <w:tcPr>
            <w:tcW w:w="260" w:type="dxa"/>
            <w:vAlign w:val="bottom"/>
          </w:tcPr>
          <w:p>
            <w:pPr>
              <w:spacing w:after="0"/>
              <w:rPr>
                <w:sz w:val="17"/>
                <w:szCs w:val="17"/>
                <w:color w:val="auto"/>
              </w:rPr>
            </w:pPr>
          </w:p>
        </w:tc>
        <w:tc>
          <w:tcPr>
            <w:tcW w:w="13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47,046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21,399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25,647</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Personnel related (including stock-based compensation)</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84,956</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69,708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15,248</w:t>
            </w:r>
          </w:p>
        </w:tc>
        <w:tc>
          <w:tcPr>
            <w:tcW w:w="0" w:type="dxa"/>
            <w:vAlign w:val="bottom"/>
          </w:tcPr>
          <w:p>
            <w:pPr>
              <w:spacing w:after="0"/>
              <w:rPr>
                <w:sz w:val="1"/>
                <w:szCs w:val="1"/>
                <w:color w:val="auto"/>
              </w:rPr>
            </w:pPr>
          </w:p>
        </w:tc>
      </w:tr>
      <w:tr>
        <w:trPr>
          <w:trHeight w:val="203"/>
        </w:trPr>
        <w:tc>
          <w:tcPr>
            <w:tcW w:w="6140" w:type="dxa"/>
            <w:vAlign w:val="bottom"/>
          </w:tcPr>
          <w:p>
            <w:pPr>
              <w:ind w:left="260"/>
              <w:spacing w:after="0" w:line="202" w:lineRule="exact"/>
              <w:rPr>
                <w:sz w:val="20"/>
                <w:szCs w:val="20"/>
                <w:color w:val="auto"/>
              </w:rPr>
            </w:pPr>
            <w:r>
              <w:rPr>
                <w:rFonts w:ascii="Arial" w:cs="Arial" w:eastAsia="Arial" w:hAnsi="Arial"/>
                <w:sz w:val="18"/>
                <w:szCs w:val="18"/>
                <w:color w:val="auto"/>
              </w:rPr>
              <w:t>Facility related and other</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29,393</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20,517</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b w:val="1"/>
                <w:bCs w:val="1"/>
                <w:color w:val="auto"/>
              </w:rPr>
              <w:t>Total research and development expenses</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414,918</w:t>
            </w:r>
          </w:p>
        </w:tc>
        <w:tc>
          <w:tcPr>
            <w:tcW w:w="480" w:type="dxa"/>
            <w:vAlign w:val="bottom"/>
            <w:tcBorders>
              <w:bottom w:val="single" w:sz="8" w:color="auto"/>
            </w:tcBorders>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302,902</w:t>
            </w:r>
          </w:p>
        </w:tc>
        <w:tc>
          <w:tcPr>
            <w:tcW w:w="440" w:type="dxa"/>
            <w:vAlign w:val="bottom"/>
            <w:tcBorders>
              <w:bottom w:val="single" w:sz="8" w:color="auto"/>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112,016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Expenses related to z-rostudirsen increased in the nine months ended September 30, 2026 compared to the nine months ended September 30, 2025. This was attributable to increased manufacturing activity of drug substance and components in the nine months ended September 30, 2026, primarily for clinical supply for the long-term extension of the DELIVER trial and the FORZETTO trial. Additionally, higher clinical costs were incurred in the nine months ended September 30, 2026 due to increased activity in the FORZETTO trial. Expenses related to z-basivarsen decreased in the nine months ended September 30, 2026 compared to the nine months ended September 30, 2025. This was primarily attributable to higher manufacturing activity for process performance qualification batches of oligonucleotide payload and the timing of drug substance conjugation activities in the nine months ended September 30, 2025, which were partially offset by higher clinical costs in the nine months ended September 30, 2026 due to the ongoing registrational expansion cohort of the ACHIEVE trial and increased enrollment in the HARMONIA trial.</w:t>
      </w:r>
    </w:p>
    <w:p>
      <w:pPr>
        <w:spacing w:after="0" w:line="17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increase in platform and external research and development expenses in the nine months ended September 30, 2026 compared to the nine months ended September 30, 2025 was primarily due to increased external research activity associated with our preclinical programs and product candidates. The increase in personnel-related expenses was primarily due to the increase of 35 employees in our research and development headcount and higher stock-based compensation expense for awards granted to new hires and existing employees. The increase in facility-related and other expenses was primarily due to the increased costs of supporting a larger number of research and development personnel.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general and administrative expenses for the nine months ended September 30,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Personnel-related</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27,375</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13,117</w:t>
            </w:r>
          </w:p>
        </w:tc>
        <w:tc>
          <w:tcPr>
            <w:tcW w:w="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14,258</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7"/>
                <w:szCs w:val="17"/>
                <w:color w:val="auto"/>
              </w:rPr>
            </w:pPr>
          </w:p>
        </w:tc>
        <w:tc>
          <w:tcPr>
            <w:tcW w:w="12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21,545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14,530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7,015</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30,341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15,320</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15,021</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Facility-related and other</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9,832</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6,186</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 general and administrative expenses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89,093</w:t>
            </w:r>
          </w:p>
        </w:tc>
        <w:tc>
          <w:tcPr>
            <w:tcW w:w="440" w:type="dxa"/>
            <w:vAlign w:val="bottom"/>
            <w:tcBorders>
              <w:bottom w:val="single" w:sz="8" w:color="auto"/>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49,153</w:t>
            </w:r>
          </w:p>
        </w:tc>
        <w:tc>
          <w:tcPr>
            <w:tcW w:w="400" w:type="dxa"/>
            <w:vAlign w:val="bottom"/>
            <w:tcBorders>
              <w:bottom w:val="single" w:sz="8" w:color="auto"/>
            </w:tcBorders>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39,940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increase in personnel-related and stock-based compensation expenses in the nine months ended September 30, 2026 compared to the nine months ended September 30, 2025 was due to the increase of 47 employees in our general and administrative headcount. Professional and consulting fees increased due to higher consulting costs for the preparation activities for the potential launch of z-rostudirsen and the overall growth of the organization in the nine months ended September 30, 2026. Facility-related and other expenses increased due to higher costs of supporting a larger number of general and administrative personnel in the nine months ended September 30,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Interest income</w:t>
      </w:r>
    </w:p>
    <w:p>
      <w:pPr>
        <w:spacing w:after="0" w:line="10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Interest income for the nine months ended September 30, 2026 and 2025 was $26.3 million and $22.2 million, respectively, due to interest earned on invested cash balances. The increase in interest income was due to an increased cash, cash equivalents and marketable securities balance throughout the nine months ended September 30, 2026 compared to the nine months ended September 30, 2025.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2"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Interest expense for the nine months ended September 30, 2026 was $14.7 million due to our Loan Agreement with Hercules and interest owed on our vendor financing arrangement. Interest expense for the nine months ended September 30, 2025 was $3.0 million due to our Loan Agreement with Hercules.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02"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Other expense for the nine months ended September 30, 2026 and 2025 was $0.5 million and $1.4 million, respectively, due to realized foreign currency losses.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Since our inception, we have incurred significant operating losses. We expect to incur significant expenses and operating losses for the foreseeable future as we support our continued research activities and development of our product candidates and platform. We have not yet commercialized any product candidates, and we do not expect to generate revenue from sales of any product candidates at least until 2027, if at all. To date, we have funded our operations primarily with proceeds from sales of equity securities and our borrowings under the Loan Agreement with Hercules. As of September 30, 2026 we had cash, cash equivalents and marketable securities of $1.134 billion.</w:t>
      </w:r>
    </w:p>
    <w:p>
      <w:pPr>
        <w:spacing w:after="0" w:line="176"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In November 2021, we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Jefferies. On March 5, 2024, we filed a universal shelf registration statement on Form S-3, or the 2024 Shelf Registration Statement, and included a prospectus relating to the Sales Agreement. Under the 2024 Shelf Registration Statement, we may offer and sell debt securities, common stock, preferred stock, units and/or warrants from time to time at an indeterminate aggregate offering price in one or more offerings. In November 2024, we filed a prospectus supplement relating to the Sales Agreement, pursuant to which, in accordance with the Sales Agreement, we may offer and sell shares of our common stock having an aggregate offering price of up to $300.0 million, which we refer to as our at-the-market offering program. Sales of common stock under the Sales Agreement through Jefferies may be made by any method that is deemed an “at-the-market” offering as defined in Rule 415(a)(4) under the Securities Act. During the nine months ended September 30, 2026, we did not issue or sell any shares of common stock pursuant to the Sales Agreement.</w:t>
      </w:r>
    </w:p>
    <w:p>
      <w:pPr>
        <w:spacing w:after="0" w:line="1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June 2025, we entered into the Loan Agreement with Hercules, in its capacity as administrative agent and collateral agent and as a lender, and certain other financial institutions that from time to time become parties to the Loan Agreement as lenders, which we refer to collectively as the Lenders. In December 2025, we entered into the First Amendment to the Loan Agreement with Hercules. In June 2026, we entered into the Second Amendment to the Loan Agreement with Hercules. The Loan Agreement, as amended by the First and the Second Amendment, provides for term loans in an aggregate principal amount of up to $ 400.0 million under multiple tranches, available as follows: (i) an initial term loan tranche funded on the closing date of the Loan Agreement in aggregate principal amount of $100.0 million; (ii) subject to the achievement of specified clinical, regulatory and commercial milestones, and after the borrowing of the second term loan tranche of $50.0 million in December 2025 and third term loan tranche of $50.0 million in June 2026, three additional term loan tranches totaling up to $125.0 million; and (iii) subject to approval by the Lenders’ investment committee in their discretion, a final term loan tranche of up to $ 75.0 million. At September 30, 2026, the principal term loan balance was $ 200.0 million. Refer to Note 7, “Debt” in the accompanying notes to the condensed consolidated financial statements for a discussion of the Loan Agreement with Hercules.</w:t>
      </w:r>
    </w:p>
    <w:p>
      <w:pPr>
        <w:spacing w:after="0" w:line="17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In July 2026, we completed a follow-on public offering, or the July 2026 Offering, pursuant to which we issued and sold 21,045,000 shares of our common stock. Net proceeds from the July 2026 Offering were approximately $404.9 million, after deducting underwriting discounts and commissions and offering expenses payable by us.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(452,697)</w:t>
            </w:r>
          </w:p>
        </w:tc>
        <w:tc>
          <w:tcPr>
            <w:tcW w:w="5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(291,375)</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(8,481)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(29,733)</w:t>
            </w: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483,278</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459,342</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22,100</w:t>
            </w:r>
          </w:p>
        </w:tc>
        <w:tc>
          <w:tcPr>
            <w:tcW w:w="540" w:type="dxa"/>
            <w:vAlign w:val="bottom"/>
            <w:tcBorders>
              <w:bottom w:val="single" w:sz="8" w:color="auto"/>
            </w:tcBorders>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138,234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-144780</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During the nine months ended September 30, 2026, operating activities used $ 452.7 million of cash, due to our net loss of $ 493.0 million and net cash used by changes in our operating assets and liabilities of $5.8 million, partially offset by non-cash charges of $46.0 million. Net cash used in changes in our operating assets and liabilities primarily consisted of a $25.7 million increase in prepaid expenses and other current assets, partially offset by a $15.9 million increase in accounts payable and other liabilities and a $4.1 million decrease in other non-current assets. During the nine months ended September 30, 2025, operating activities used $291.4 million of cash, due to our net loss of $ 334.3 million, partially offset by non-cash charges of $35.0 million and net cash provided by changes in our operating assets and liabilities of $7.9 million. Net cash provided by changes in our operating assets and liabilities primarily consisted of a $17.7 million increase in accounts payable and other liabilities and a $3.2 million decrease in prepaid expenses and other current assets, partially offset by a $13.0 million increase in other non-current assets. Changes in our operating assets and liabilities during these periods were generally due to the growth of our business, increased clinical trial activity, increased manufacturing activities, advancement of our product candidates and the timing of vendor invoices and 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During the nine months ended September 30, 2026, net cash used in investing activities was $8.5 million due to purchases of marketable securities of $158.6 million and purchases of property and equipment of $3.7 million, partially offset by maturities of marketable securities of $92.7 million and sales of marketable securities of $61.2 million. During the nine months ended September 30, 2025, net cash used in investing activities was $29.7 million due to purchases of marketable securities of $ 153.8 million, an advance payment for long-lead equipment for $18.8 million, which was transferred to other non-current assets and is expected to be credited towards future batch manufacturing fees as of September 30, 2026, and purchases of property and equipment of $1.4 million, partially offset by maturities of marketable securities of $135.8 million and sales of marketable securities of $8.5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During the nine months ended September 30, 2026, net cash provided by financing activities was $483.3 million, including $404.9 million in net proceeds after deducting underwriting discounts and commissions and offering expenses paid by us from the July 2026 Offering, pursuant to which we issued and sold 21,045,000 shares of our common stock, $49.5 million in net proceeds from the third term loan tranche under our Loan Agreement with Hercules, $34.9 million in proceeds from our vendor financing arrangement and $4.1 million in proceeds received from stock option exercises. These cash inflows were partially offset by $ 9.6 million in repayments related to our vendor financing arrangement and the payment of $0.4 million of issuance costs from the follow-on public offering we completed in December 2025. During the nine months ended September 30, 2025, net cash provided by financing activities was $459.3 million, consisting of $215.8 million in aggregate net proceeds from sales of common stock under our follow-on offering in July 2025, $140.7 million in aggregate net proceeds from sales of our common stock under our at-the-market offering program, $98.8 million in net proceeds from the initial term loan tranche under the Loan Agreement with Hercules and $4.6 million in net proceeds received from stock option exercises. These cash inflows were partially offset by $0.5 million in payment of debt issuance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expect our expenses to increase in connection with our ongoing activities, particularly as we advance the clinical development of z-rostudirsen and z-basivarsen, the development of our FSHD, Pompe and DMD franchise programs and additional research programs. The timing and amount of our operating expenditures will depend largely on:</w:t>
      </w:r>
    </w:p>
    <w:p>
      <w:pPr>
        <w:spacing w:after="0" w:line="61"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identification of additional product candidates;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0" w:name="page31"/>
    <w:bookmarkEnd w:id="30"/>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costs and results of preclinical and clinical development of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6" w:lineRule="exact"/>
        <w:rPr>
          <w:rFonts w:ascii="Times New Roman" w:cs="Times New Roman" w:eastAsia="Times New Roman" w:hAnsi="Times New Roman"/>
          <w:sz w:val="18"/>
          <w:szCs w:val="18"/>
          <w:color w:val="auto"/>
        </w:rPr>
      </w:pPr>
    </w:p>
    <w:p>
      <w:pPr>
        <w:ind w:left="760" w:right="560" w:hanging="378"/>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or regulations applicable to any product candidates we may develop, including but not limited to clinical trial requirements for approvals;</w:t>
      </w:r>
    </w:p>
    <w:p>
      <w:pPr>
        <w:spacing w:after="0" w:line="46" w:lineRule="exact"/>
        <w:rPr>
          <w:rFonts w:ascii="Times New Roman" w:cs="Times New Roman" w:eastAsia="Times New Roman" w:hAnsi="Times New Roman"/>
          <w:sz w:val="18"/>
          <w:szCs w:val="18"/>
          <w:color w:val="auto"/>
        </w:rPr>
      </w:pPr>
    </w:p>
    <w:p>
      <w:pPr>
        <w:ind w:left="760" w:right="340" w:hanging="378"/>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obtaining materials to produce adequate product supply for any preclinical or clinical development of any product candidate we may develop;</w:t>
      </w:r>
    </w:p>
    <w:p>
      <w:pPr>
        <w:spacing w:after="0" w:line="46" w:lineRule="exact"/>
        <w:rPr>
          <w:rFonts w:ascii="Times New Roman" w:cs="Times New Roman" w:eastAsia="Times New Roman" w:hAnsi="Times New Roman"/>
          <w:sz w:val="18"/>
          <w:szCs w:val="18"/>
          <w:color w:val="auto"/>
        </w:rPr>
      </w:pPr>
    </w:p>
    <w:p>
      <w:pPr>
        <w:ind w:left="760" w:right="280" w:hanging="378"/>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and related preparations, including product manufacturing, marketing, sales and distribution, for any product candidate we may develop for which we obtain marketing approval;</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legal costs involved in prosecuting patent applications and enforcing patent claims and other intellectual property claims;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scientific or management personnel;</w:t>
      </w:r>
    </w:p>
    <w:p>
      <w:pPr>
        <w:spacing w:after="0" w:line="116"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collaborations on favorable terms, if at all, as well as the costs and timing of any collaboration, license or other arrangement, including the terms and timing of any milestone payments thereunder; and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22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believe that our cash, cash equivalents and marketable securities as of September 30, 2026 will enable us to fund our operating expenses, debt service obligations, and capital expenditure requirements into the second quarter of 2028. We have based this estimate on assumptions that may prove to be wrong, and we could exhaust our available capital resources sooner than we expect.</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holders of our common stock.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We may be unable to raise additional funds or enter into such other agreements or arrangements when needed, on favorable terms, or at all. If we fail to raise capital or enter into such agreements or arrangements as and when needed, we may have to significantly delay, reduce or eliminate the development or future commercialization of one or more of our product candidates we may develop. See Part II, Item 1A. “Risk Factors” in this Quarterly Report for additional risks associated with our substantial capital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102"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preclinical research studies, clinical trials and testing and manufacturing services. Except for the master manufacturing services agreements described below, these contracts typically do not contain significant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CMOs may include non-cancelable fees.</w:t>
      </w:r>
    </w:p>
    <w:p>
      <w:pPr>
        <w:spacing w:after="0" w:line="16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have also entered into a license agreement with the University of Mons under which we are obligated to make specified milestone and royalty payments. The payment obligations under this agreement are contingent upon future events, such as our achievement of specified development, regulatory and commercial milestones, or generating product sales. We are unable to estimate the timing or likelihood of achieving these milestones or generating future product sales.</w:t>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1" w:name="page32"/>
    <w:bookmarkEnd w:id="31"/>
    <w:p>
      <w:pPr>
        <w:ind w:right="220"/>
        <w:spacing w:after="0" w:line="253" w:lineRule="auto"/>
        <w:rPr>
          <w:sz w:val="20"/>
          <w:szCs w:val="20"/>
          <w:color w:val="auto"/>
        </w:rPr>
      </w:pPr>
      <w:r>
        <w:rPr>
          <w:rFonts w:ascii="Arial" w:cs="Arial" w:eastAsia="Arial" w:hAnsi="Arial"/>
          <w:sz w:val="18"/>
          <w:szCs w:val="18"/>
          <w:color w:val="auto"/>
        </w:rPr>
        <w:t>For additional information about our license agreement with the University of Mons and amounts that could become payable in the future under that agreement, see Item 1. "Business—Intellectual Property—License Agreement with the University of Mons" in the Annual Report on Form 10-K filed with the SEC on March 2, 2026.</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December 4, 2020, we entered into a lease agreement for office and laboratory space, which was amended in January 2021, March 2021 and June 2021. The lease has a term of 8.5 years that commenced when we gained access to the office and laboratory space in September 2021. Our obligation for the payment of the base rent began in April 2022 and is $ 0.4 million per month, increasing to $0.5 million per month during the term of the lease. We have two options to extend the term of the lease, each for a period of an additional five years.</w:t>
      </w:r>
    </w:p>
    <w:p>
      <w:pPr>
        <w:spacing w:after="0" w:line="16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On January 15, 2025, we entered into a master manufacturing services agreement with a CMO which secures capacity at the CMO's manufacturing facilities for certain of our product candidates and components thereof. As of September 30, 2026, we have paid $27.2 million towards non-current assets under this agreement and pursuant to a mutually agreed rolling forecast we have committed to pay an additional $69.4 million in fees through September 2028. In specified termination circumstances, the agreement requires us to pay the CMO for services completed, the cost of the CMO's raw materials that cannot be repurposed and specified cancellation fees. This agreement formalizes and supersedes a letter agreement that we entered into with the CMO on July 18, 2024.</w:t>
      </w:r>
    </w:p>
    <w:p>
      <w:pPr>
        <w:spacing w:after="0" w:line="165"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On October 31, 2025, we entered into another master manufacturing services agreement with a CMO which also secures capacity at the CMO's manufacturing facilities for certain of our product candidate components. The agreement obligates us to compensate the CMO for producing certain of our product candidate components pursuant to a mutually agreed rolling forecast, pursuant to which, as of September 30, 2026, we have committed to pay an additional $ 53.3 million in fees through March 2028. In specified termination circumstances, the agreement requires us to pay the CMO for services completed, the cost of the CMO's raw materials that cannot be repurposed, capital equipment and certain manufacturing activities previously committed 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condensed consolidated financial statements are prepared in accordance with generally accepted accounting principles in the United States. The preparation of our condensed consolidated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Management has determined that our most critical accounting policies are those relating to accrued research and development expenses and stock-based compensation. As we advance our product candidates into and through clinical development, we expect research and development expenses and, in particular, our accounting for accrued research and development expenses to be an increasingly important critical accounting policy.</w:t>
      </w:r>
    </w:p>
    <w:p>
      <w:pPr>
        <w:spacing w:after="0" w:line="16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There have been no significant changes to our critical accounting policies or estimates from those described in our Annual Report on Form 10-K filed with the SEC on March 2,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Refer to Note 2, "Summary of Significant Accounting Policies" in the accompanying notes to the condensed consolidated financial statements for a discussion of significant accounting policies. There are no recently issued accounting pronouncements that have not yet been adopted that are expected to have a material impact on the Company’s financial statements as of September 30, 2026.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jc w:val="both"/>
        <w:ind w:right="260"/>
        <w:spacing w:after="0" w:line="253" w:lineRule="auto"/>
        <w:rPr>
          <w:sz w:val="20"/>
          <w:szCs w:val="20"/>
          <w:color w:val="auto"/>
        </w:rPr>
      </w:pPr>
      <w:r>
        <w:rPr>
          <w:rFonts w:ascii="Arial" w:cs="Arial" w:eastAsia="Arial" w:hAnsi="Arial"/>
          <w:sz w:val="18"/>
          <w:szCs w:val="18"/>
          <w:color w:val="auto"/>
        </w:rPr>
        <w:t>During the period ended September 30, 2026, there have been no material changes in our market risk or how our market risk is managed from that described in “Quantitative and Qualitative Disclosures About Market Risk,” included in our Annual Report on Form 10-K filed with the SEC on March 2,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(our principal executive officer and principal financial officer, respectively), evaluated the effectiveness of our disclosure controls and procedures as of September 30, 2026. The term “disclosure controls and procedures,” as defined in Rules 13a-15(e) and 15d-15(e) under the Securities Exchange Act of 1934, as amended, or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66"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2026, our Chief Executive Officer and Chief Financial Officer concluded that, as of such date, our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September 30, 2026 that have materially affected, or are reasonably likely to materially affect, our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jc w:val="both"/>
        <w:ind w:right="160"/>
        <w:spacing w:after="0" w:line="255" w:lineRule="auto"/>
        <w:rPr>
          <w:sz w:val="20"/>
          <w:szCs w:val="20"/>
          <w:color w:val="auto"/>
        </w:rPr>
      </w:pPr>
      <w:r>
        <w:rPr>
          <w:rFonts w:ascii="Arial" w:cs="Arial" w:eastAsia="Arial" w:hAnsi="Arial"/>
          <w:sz w:val="17"/>
          <w:szCs w:val="17"/>
          <w:i w:val="1"/>
          <w:iCs w:val="1"/>
          <w:color w:val="auto"/>
        </w:rPr>
        <w:t>Our business is subject to numerous risks. You should carefully consider the risks and uncertainties described below together with all of the other information contained in this Quarterly Report on Form 10-Q, or this Quarterly Report, including our condensed consolidated financial statements and the related notes thereto in evaluating our company. The risks described below are not the only risks facing our company.</w:t>
      </w:r>
    </w:p>
    <w:p>
      <w:pPr>
        <w:jc w:val="both"/>
        <w:ind w:right="160"/>
        <w:spacing w:after="0" w:line="250" w:lineRule="auto"/>
        <w:rPr>
          <w:sz w:val="20"/>
          <w:szCs w:val="20"/>
          <w:color w:val="auto"/>
        </w:rPr>
      </w:pPr>
      <w:r>
        <w:rPr>
          <w:rFonts w:ascii="Arial" w:cs="Arial" w:eastAsia="Arial" w:hAnsi="Arial"/>
          <w:sz w:val="18"/>
          <w:szCs w:val="18"/>
          <w:i w:val="1"/>
          <w:iCs w:val="1"/>
          <w:color w:val="auto"/>
        </w:rPr>
        <w:t>The occurrence of any of the following risks, or of additional risks and uncertainties not presently known to us or that we currently believe to be immaterial, could cause our business, prospects, operating results and financial condition to suffer materially.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6"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We have incurred significant losses since our inception, have no products approved for sale and we expect to incur losses for the foreseeable future.</w:t>
      </w:r>
    </w:p>
    <w:p>
      <w:pPr>
        <w:spacing w:after="0" w:line="31"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Since inception, we have incurred significant operating losses. Our net losses were $493.0 million and $334.3 million for the nine months ended September 30, 2026 and 2025, respectively, and $ 446.2 million for the year ended December 31, 2025. As of September 30, 2026, we had an accumulated deficit of $1,889 million. To date, we have financed our operations with the proceeds raised from the sale of equity securities and our borrowings under the Loan Agreement with Hercules. We have devoted substantially all of our financial resources and efforts to research and development. Our product candidates are in varying stages of preclinical and clinical development and we have not completed clinical development of any product candidate. We expect to continue to incur significant expenses and operating losses for the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right="60"/>
        <w:spacing w:after="0" w:line="271" w:lineRule="auto"/>
        <w:rPr>
          <w:sz w:val="20"/>
          <w:szCs w:val="20"/>
          <w:color w:val="auto"/>
        </w:rPr>
      </w:pPr>
      <w:r>
        <w:rPr>
          <w:rFonts w:ascii="Arial" w:cs="Arial" w:eastAsia="Arial" w:hAnsi="Arial"/>
          <w:sz w:val="18"/>
          <w:szCs w:val="18"/>
          <w:color w:val="auto"/>
        </w:rPr>
        <w:t>foreseeable future. Our operating expenses and net losses may fluctuate significantly from quarter to quarter and year to year. We anticipate that our expenses will increase substantially if and as we:</w:t>
      </w:r>
    </w:p>
    <w:p>
      <w:pPr>
        <w:spacing w:after="0" w:line="46"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advance our product candidates for DMD, DM1, FSHD and Pompe and any additional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capabilities of our proprietary FORCE platform;</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obtain, expand, maintain, defend and enforce our intellectual property portfolio;</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clinical, regulatory, scientific, medical affairs and commercial operations personnel;</w:t>
      </w:r>
    </w:p>
    <w:p>
      <w:pPr>
        <w:spacing w:after="0" w:line="116" w:lineRule="exact"/>
        <w:rPr>
          <w:rFonts w:ascii="Times New Roman" w:cs="Times New Roman" w:eastAsia="Times New Roman" w:hAnsi="Times New Roman"/>
          <w:sz w:val="18"/>
          <w:szCs w:val="18"/>
          <w:color w:val="auto"/>
        </w:rPr>
      </w:pPr>
    </w:p>
    <w:p>
      <w:pPr>
        <w:ind w:left="760" w:right="160" w:hanging="378"/>
        <w:spacing w:after="0" w:line="252"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manufacturing sources for any product candidate we may develop, including the Fab, linker and therapeutic payload that will comprise the product candidate, and secure supply chain capacity to provide sufficient quantities for preclinical and clinical development and commercial supply;</w:t>
      </w:r>
    </w:p>
    <w:p>
      <w:pPr>
        <w:spacing w:after="0" w:line="62" w:lineRule="exact"/>
        <w:rPr>
          <w:rFonts w:ascii="Times New Roman" w:cs="Times New Roman" w:eastAsia="Times New Roman" w:hAnsi="Times New Roman"/>
          <w:sz w:val="18"/>
          <w:szCs w:val="18"/>
          <w:color w:val="auto"/>
        </w:rPr>
      </w:pPr>
    </w:p>
    <w:p>
      <w:pPr>
        <w:ind w:left="760" w:right="600" w:hanging="378"/>
        <w:spacing w:after="0" w:line="270"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46"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add operational, legal, compliance, financial and management information systems and personnel to support our research, product development and future commercialization efforts, as well as to support our operations as a public company.</w:t>
      </w:r>
    </w:p>
    <w:p>
      <w:pPr>
        <w:spacing w:after="0" w:line="14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Even if we obtain regulatory approval of, and are successful in commercializing, one or more of any product candidates we may develop, we will continue to incur substantial research and development and other costs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Our product candidates are in varying stages of preclinical and clinical development. We have not completed clinical development of any product candidate, and we do not expect to have a product candidate ready for commercialization at least until 2027, if ever. To become and remain profitable, we must succeed in developing, obtaining the necessary regulatory approvals for, and eventually commercializing a product or products that generate significant revenue. The ability to achieve this success will require us to be effective in a range of challenging activities, including:</w:t>
      </w:r>
    </w:p>
    <w:p>
      <w:pPr>
        <w:spacing w:after="0" w:line="68" w:lineRule="exact"/>
        <w:rPr>
          <w:sz w:val="20"/>
          <w:szCs w:val="20"/>
          <w:color w:val="auto"/>
        </w:rPr>
      </w:pPr>
    </w:p>
    <w:p>
      <w:pPr>
        <w:ind w:left="760" w:right="220" w:hanging="378"/>
        <w:spacing w:after="0" w:line="270"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product candidates and completing preclinical and clinical development of any product candidates we may identify and determine to develop;</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approval for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marketing and selling any products for which we may obtain regulatory approval;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achieving market acceptance of any products for which we obtain regulatory approval as a viable treatment option;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satisfying any post-marketing requirements.</w:t>
      </w:r>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may never succeed in these activities and, even if we do, may never generate revenues that are significant enough to achieve profitability. Our product candidates are in varying stages of preclinical and clinical development, and we have not completed clinical development of any product candidate. Because of the numerous risks and uncertainties associated with product development, we are unable to accurately estimate or know the nature, timing or costs of the efforts that will be necessary to complete the preclinical and clinical development and commercialization of any product candidate we may develop or when, or if, we will be able to generate revenues or achieve profitability.</w:t>
      </w:r>
    </w:p>
    <w:p>
      <w:pPr>
        <w:spacing w:after="0" w:line="165"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If we are successful in obtaining regulatory approval to market one or more of our products,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20"/>
        <w:spacing w:after="0" w:line="275" w:lineRule="auto"/>
        <w:rPr>
          <w:sz w:val="20"/>
          <w:szCs w:val="20"/>
          <w:color w:val="auto"/>
        </w:rPr>
      </w:pPr>
      <w:r>
        <w:rPr>
          <w:rFonts w:ascii="Arial" w:cs="Arial" w:eastAsia="Arial" w:hAnsi="Arial"/>
          <w:sz w:val="17"/>
          <w:szCs w:val="17"/>
          <w:color w:val="auto"/>
        </w:rPr>
        <w:t>Even if we do achieve profitability, we may not be able to sustain or increase profitability on a quarterly or annual basis. Our failure to become and remain profitable could impair our ability to raise capital, maintain our research and development efforts, expand our business or even continue our operations. A decline in the value of our company could also cause our stockholders to lose all or part of their investment.</w:t>
      </w:r>
    </w:p>
    <w:p>
      <w:pPr>
        <w:spacing w:after="0" w:line="140"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activities or commercialization efforts.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seek regulatory approval of and prepare for the potential commercial launch of z-rostudirsen, advance the clinical development of z-rostudirsen and z-basivarsen, and the preclinical and clinical development of DYNE-302, our FSHD product candidate, DYNE-401, our Pompe disease product candidate, and DYNE-244, DYNE-245, DYNE-253 and DYNE-255, our product candidates for DMD amenable to skipping exons 44, 45, 53 and 55, respectively, and any additional product candidates we may develop, and arrange for the manufacturing of, and potentially seek marketing approval for any product candidates we may develop. In addition, if we obtain marketing approval for any product candidates we may develop,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on attractive terms or at all, we may be forced to delay, reduce or eliminate our research and development programs or future commercialization efforts.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we had cash, cash equivalents and marketable securities of $1.134 billion.</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believe that our cash, cash equivalents and marketable securities as of September 30, 2026 will enable us to fund our operating expenses, debt service obligations and capital expenditure requirements into the second quarter of 2028. However, we have based these estimates on assumptions that may prove to be wrong, and our operating plan may change as a result of many factors currently unknown to us. As a result, we could deplete our capital resources sooner than we currently expect and could be forced to seek additional funding sooner than planned.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0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identification of additional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costs and results of preclinical and clinical development of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6" w:lineRule="exact"/>
        <w:rPr>
          <w:rFonts w:ascii="Times New Roman" w:cs="Times New Roman" w:eastAsia="Times New Roman" w:hAnsi="Times New Roman"/>
          <w:sz w:val="18"/>
          <w:szCs w:val="18"/>
          <w:color w:val="auto"/>
        </w:rPr>
      </w:pPr>
    </w:p>
    <w:p>
      <w:pPr>
        <w:ind w:left="760" w:right="64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or regulations applicable to any product candidates we may develop, including but not limited to clinical trial requirements for approvals;</w:t>
      </w:r>
    </w:p>
    <w:p>
      <w:pPr>
        <w:spacing w:after="0" w:line="46" w:lineRule="exact"/>
        <w:rPr>
          <w:rFonts w:ascii="Times New Roman" w:cs="Times New Roman" w:eastAsia="Times New Roman" w:hAnsi="Times New Roman"/>
          <w:sz w:val="18"/>
          <w:szCs w:val="18"/>
          <w:color w:val="auto"/>
        </w:rPr>
      </w:pPr>
    </w:p>
    <w:p>
      <w:pPr>
        <w:ind w:left="760" w:right="42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obtaining materials to produce adequate product supply for any preclinical or clinical development of any product candidate we may develop;</w:t>
      </w:r>
    </w:p>
    <w:p>
      <w:pPr>
        <w:spacing w:after="0" w:line="46" w:lineRule="exact"/>
        <w:rPr>
          <w:rFonts w:ascii="Times New Roman" w:cs="Times New Roman" w:eastAsia="Times New Roman" w:hAnsi="Times New Roman"/>
          <w:sz w:val="18"/>
          <w:szCs w:val="18"/>
          <w:color w:val="auto"/>
        </w:rPr>
      </w:pPr>
    </w:p>
    <w:p>
      <w:pPr>
        <w:ind w:left="760" w:right="30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legal costs involved in prosecuting patent applications and enforcing patent claims and other intellectual property claims;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scientific or management personnel;</w:t>
      </w:r>
    </w:p>
    <w:p>
      <w:pPr>
        <w:spacing w:after="0" w:line="116" w:lineRule="exact"/>
        <w:rPr>
          <w:rFonts w:ascii="Times New Roman" w:cs="Times New Roman" w:eastAsia="Times New Roman" w:hAnsi="Times New Roman"/>
          <w:sz w:val="18"/>
          <w:szCs w:val="18"/>
          <w:color w:val="auto"/>
        </w:rPr>
      </w:pPr>
    </w:p>
    <w:p>
      <w:pPr>
        <w:ind w:left="760" w:right="16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collaborations on favorable terms, if at all, as well as the costs and timing of any collaboration, license or other arrangement, including the terms and timing of any milestone payments thereunder; and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2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Identifying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5" w:name="page36"/>
    <w:bookmarkEnd w:id="35"/>
    <w:p>
      <w:pPr>
        <w:jc w:val="both"/>
        <w:ind w:right="380"/>
        <w:spacing w:after="0" w:line="253" w:lineRule="auto"/>
        <w:rPr>
          <w:sz w:val="20"/>
          <w:szCs w:val="20"/>
          <w:color w:val="auto"/>
        </w:rPr>
      </w:pPr>
      <w:r>
        <w:rPr>
          <w:rFonts w:ascii="Arial" w:cs="Arial" w:eastAsia="Arial" w:hAnsi="Arial"/>
          <w:sz w:val="18"/>
          <w:szCs w:val="18"/>
          <w:color w:val="auto"/>
        </w:rPr>
        <w:t>candidates and those are approved, we may not achieve commercial success. Our commercial revenues, if any, may not be sufficient to sustain our operations. Accordingly, we will need to continue to rely on additional financing to achieve our business objectives. Adequate additional financing may not be available to us on acceptable terms, or at all.</w:t>
      </w:r>
    </w:p>
    <w:p>
      <w:pPr>
        <w:spacing w:after="0" w:line="15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operations. We cannot be certain that additional funding will be available on acceptable terms, when needed or at all. Other than the Loan Agreement with Hercules, we have no committed source of additional capital and, if we are unable to raise additional capital in sufficient amounts, when needed or on terms acceptable to us, we may be required to significantly curtail, delay or discontinue one or more of our research or development programs or the commercialization of any product candidates we may develop, or be unable to expand our operations or otherwise capitalize on our business opportunities, as desired, which could materially affect our business, financial condition and results of operations.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68"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and/or licensing arrangements, and term loans under our Loan Agreement with Hercules. For example, in June 2025, we entered into the Loan Agreement with Hercules and the other lenders party thereto, which we refer to as the Lenders, in December 2025, we entered into the First Amendment to the Loan Agreement, or the First Amendment, and in June 2026, we entered into the Second Amendment to the Loan Agreement, or the Second Amendment. The Loan Agreement, as amended by the First Amendment and the Second Amendment, provides for term loans in an aggregate principal amount of up to $400.0 million under multiple tranches, available as follows: (i) an initial term loan tranche funded on the closing date of the Loan Agreement in aggregate principal amount of $100.0 million; (ii) subject to the achievement of specified clinical, regulatory and commercial milestones, and after the borrowing of the second term loan tranche of $50.0 million in December 2025 and the third term loan tranche of $50.0 million in June 2026, three additional term loan tranches totaling up to $125.0 million; and (iii) subject to approval by the Lenders’ investment committee in their discretion, a final term loan tranche of up to $75.0 million. However, if we do not satisfy the specified clinical, regulatory and commercial milestones or the Lenders do not otherwise approve the discretionary tranche, we may not have access to the remaining amounts under the term loans. Other than the Loan Agreement with Hercules,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the rights of common stockholders. Any debt financing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w:t>
      </w:r>
    </w:p>
    <w:p>
      <w:pPr>
        <w:spacing w:after="0" w:line="16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or on terms acceptable to us, we may be required to delay, limit, reduce or eliminate some or all of our research and development programs, pipeline expansion or future commercialization efforts or grant rights to develop and market product candidates that we would otherwise prefer to develop and market ourselves.</w:t>
      </w:r>
    </w:p>
    <w:p>
      <w:pPr>
        <w:spacing w:after="0" w:line="167"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Our limited operating history may make it difficult to evaluate the success of our business to date and to assess our future viability.</w:t>
      </w:r>
    </w:p>
    <w:p>
      <w:pPr>
        <w:spacing w:after="0" w:line="31"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We commenced operations in 2017, and our operations to date have been limited to organizing and staffing our company, business planning, raising capital, conducting research and development activities and filing and prosecuting patent applications. Our product candidates are in varying stages of preclinical and clinical development, and their risk of failure is high. We have not yet demonstrated our ability to complete the clinical development of any product candidate, obtain marketing approvals, manufacture product on a commercial scale or arrange for a third party to do so on our behalf, or conduct sales, marketing and distribution activities necessary for successful product commercialization. Consequently,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right="80"/>
        <w:spacing w:after="0" w:line="271" w:lineRule="auto"/>
        <w:rPr>
          <w:sz w:val="20"/>
          <w:szCs w:val="20"/>
          <w:color w:val="auto"/>
        </w:rPr>
      </w:pPr>
      <w:r>
        <w:rPr>
          <w:rFonts w:ascii="Arial" w:cs="Arial" w:eastAsia="Arial" w:hAnsi="Arial"/>
          <w:sz w:val="18"/>
          <w:szCs w:val="18"/>
          <w:color w:val="auto"/>
        </w:rPr>
        <w:t>any predictions about our future success or viability may not be as accurate as they could be if we had a longer operating history or a history of successfully developing and commercializing products.</w:t>
      </w:r>
    </w:p>
    <w:p>
      <w:pPr>
        <w:spacing w:after="0" w:line="14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limited operating history may make it difficult to evaluate our technology and industry and predict our future performance. Our limited history as an operating company makes any assessment of our future success or viability subject to significant uncertainty. We will encounter risks and difficulties frequently experienced by clinical-stage companies in rapidly evolving fields. If we do not address these risks successfully, our business will suffer.</w:t>
      </w:r>
    </w:p>
    <w:p>
      <w:pPr>
        <w:spacing w:after="0" w:line="16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as our business grows, we may encounter unforeseen expenses, restrictions, difficulties, complications, delays and other known and unknown factors. We are in the process of transitioning from a company focused on conducting development activities to a company capable of supporting commercial activities. We may not be successful in such a transition.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subject to limitations.</w:t>
      </w:r>
    </w:p>
    <w:p>
      <w:pPr>
        <w:spacing w:after="0" w:line="10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We have a history of cumulative losses and anticipate that we will continue to incur significant losses in the foreseeable future; thus, we do not know whether or when we will generate taxable income necessary to utilize our net operating losses, or NOLs, or research and development tax credit carryforwards. As of December 31, 2025, we had federal NOL carryforwards of $981.6 million and state NOL carryforwards of $1,013 million.</w:t>
      </w:r>
    </w:p>
    <w:p>
      <w:pPr>
        <w:spacing w:after="0" w:line="16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general, under Sections 382 and 383 of the U.S. Internal Revenue Code of 1986, as amended, or the Code, and corresponding provisions of state law, a corporation that undergoes an “ownership change,” generally defined as a greater than 50 percentage point change (by value) in its equity ownership by certain stockholders over a three-year period, is subject to limitations on its ability to utilize its pre-change NOLs and pre-change research and development tax credit carryforwards to offset post-change taxable income. We completed a Section 382 study of transactions in our stock through December 10, 2025 and concluded that we have experienced ownership changes since inception that we believe under Sections 382 and 383 of the Code will result in limitations in our ability to use certain pre-change NOLs and credits. We will continue to analyze the impacts of Section 382 from future transactions in our stock. In the future, we may experience additional ownership changes as a result of equity offerings or other changes in the ownership of our stock, some of which are beyond our control. As a result, if, and to the extent that, we earn net taxable income, our ability to use our NOL carryforwards and research and development tax credit carryforwards to offset such taxable income may be subject to limitations.</w:t>
      </w:r>
    </w:p>
    <w:p>
      <w:pPr>
        <w:spacing w:after="0" w:line="166"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There is also a risk that due to regulatory changes, such as suspensions on the use of NOLs, or other unforeseen reasons, our existing NOLs could expire or otherwise become unavailable to offset future income tax liabilities. In addition, state NOLs generated in one state cannot be used to offset income generated in another state. For these reasons, even if we attain profitability, we may be unable to use a material portion of our NOLs and other tax attributes.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 contains restrictive and financial covenants that may limit our operating flexibility.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On June 27, 2025, we entered into the Loan Agreement with Hercules and the Lenders, in December 2025, we entered into the First Amendment and in June 2026 we entered into the Second Amendment. Following entry into the Second Amendment and the borrowing of the initial, second and third term loan tranches, we have three additional term loan tranches we may borrow pursuant to the Loan Agreement, totaling up to $125.0 million, which are available subject to the achievement of specified clinical, regulatory and commercial milestones, and a final term loan tranche of up to $75.0 million, which is available subject to approval by the Lenders’ investment committee in their discretion. Our obligations under the Loan Agreement are secured by a first-priority security interest in substantially all of our property, inclusive of intellectual property, subject to customary permitted liens and other exceptions set forth in the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Loan Agreement contains customary representations and warranties, events of default and affirmative and negative covenants, including a minimum cash covenant, which we refer to as the Minimum Cash Covenant, requiring that we maintain specified levels of cash in accounts subject to a control agreement in favor of Hercules, or the Qualified Cash, during the period commencing on July 1, 2027. The Minimum Cash Covenant is set at 40% of the then outstanding obligations under the Loan Agreement and is subject to adjustment and will only be tested if our market capitalization is less than $1.65 billion. We are also required to maintain minimum net product revenue from the sale of z-rostudirsen and z-basivarsen starting nine months after FDA approval of z-rostudirsen or z-basivarsen, which we refer to as the Minimum Revenue Covenant, if the outstanding obligations under the Loan Agreement exceed $100.0 million. The Minimum</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right="140"/>
        <w:spacing w:after="0"/>
        <w:rPr>
          <w:sz w:val="20"/>
          <w:szCs w:val="20"/>
          <w:color w:val="auto"/>
        </w:rPr>
      </w:pPr>
      <w:r>
        <w:rPr>
          <w:rFonts w:ascii="Arial" w:cs="Arial" w:eastAsia="Arial" w:hAnsi="Arial"/>
          <w:sz w:val="18"/>
          <w:szCs w:val="18"/>
          <w:color w:val="auto"/>
        </w:rPr>
        <w:t>Revenue Covenant will not be tested for any month to the extent that for each day during such month either (i) Qualified Cash is at least 100% of our outstanding obligations under the Loan Agreement or (ii) our market capitalization is greater than $1.65 billion and Qualified Cash is at least 50% of our outstanding obligations under the Loan Agreement. Certain negative covenants under the Loan Agreement limit our ability, among other things, to incur future debt, grant liens, make investments, make acquisitions, distribute dividends, enter into transactions with affiliates, make payments on other indebtedness and sell assets, subject in each case to certain exceptions. Our business may be adversely affected by these restrictions on our ability to operate our business. If we raise any additional debt financing, as permitted by the Loan Agreement, the terms of such additional indebtedness could further restrict our operating and financial flexibility.</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may not be able to generate sufficient cash flow or sales to meet the Minimum Cash Covenant or the Minimum Revenue Covenant or pay the outstanding obligations under the Loan Agreement when due. Furthermore, our future working capital, borrowings or equity financings could be unavailable to repay or refinance the amounts outstanding under the Loan Agreement. In the event of a liquidation of our business, we would be required to repay all outstanding obligations under the Loan Agreement prior to the distribution of assets to unsecured creditors, and the holders of our common stock would receive a portion of any liquidation proceeds only if all of our creditors then existing, including the lenders under our Loan Agreement with Hercules, were first repaid in full.</w:t>
      </w:r>
    </w:p>
    <w:p>
      <w:pPr>
        <w:spacing w:after="0" w:line="16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we fail to comply with the Minimum Cash Covenant, the Minimum Revenue Covenant or the other covenants under the Loan Agreement, it will result in an event of default. Upon the occurrence of an event of default, and subject to any specified cure periods, all amounts owed under the Loan Agreement may be declared immediately due and payable by the Lenders, and the Lenders may foreclose on collateral.</w:t>
      </w:r>
    </w:p>
    <w:p>
      <w:pPr>
        <w:spacing w:after="0" w:line="15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Our failure to comply with the covenants or other terms of the Loan Agreement, including as a result of events beyond our control, could result in a default under the Loan Agreement that could materially and adversely affect our business.</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may be required to repay the outstanding indebtedness under the Loan Agreement if an event of default occurs under the Loan Agreement or, if applicable, any future debt facility. The Loan Agreement includes customary events of default, including payment defaults, breaches of covenants following any applicable cure period, the occurrence of certain events that could reasonably be expected to have a “material adverse effect” as set forth in the Loan Agreement and cross acceleration.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Our business, financial condition and results of operations could be materially adversely affected as a result of any of these events.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w:t>
      </w:r>
    </w:p>
    <w:p>
      <w:pPr>
        <w:spacing w:after="0" w:line="106"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i w:val="1"/>
          <w:iCs w:val="1"/>
          <w:color w:val="auto"/>
        </w:rPr>
        <w:t>Our product candidates are in varying stages of preclinical and clinical development and we have not completed clinical development of any product candidate. We do not expect to commercialize any product candidate at least until 2027, if ever. If we are unable to identify and advance product candidates through preclinical studies and clinical trials, obtain marketing approval and ultimately commercialize them, or experience significant delays in doing so, our business will be materially harmed.</w:t>
      </w:r>
    </w:p>
    <w:p>
      <w:pPr>
        <w:spacing w:after="0" w:line="15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have focused our efforts to date on developing our platform, identifying our programs and conducting the clinical development of our product candidates. Our product candidates are in varying stages of preclinical and clinical development, and we have not completed clinical development of or commercialized any product candidate. Our ability to generate product revenue, which we do not expect will occur at least until 2027, if ever,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spacing w:after="0" w:line="16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Commencing clinical trials in the United States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any future clinical trials may be delayed. Even after we receive and incorporate guidance from the FDA, the FDA could disagree that we 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jc w:val="both"/>
        <w:ind w:right="180"/>
        <w:spacing w:after="0" w:line="253" w:lineRule="auto"/>
        <w:rPr>
          <w:sz w:val="20"/>
          <w:szCs w:val="20"/>
          <w:color w:val="auto"/>
        </w:rPr>
      </w:pPr>
      <w:r>
        <w:rPr>
          <w:rFonts w:ascii="Arial" w:cs="Arial" w:eastAsia="Arial" w:hAnsi="Arial"/>
          <w:sz w:val="18"/>
          <w:szCs w:val="18"/>
          <w:color w:val="auto"/>
        </w:rPr>
        <w:t>For example, the FDA placed on clinical hold our IND application to initiate a clinical trial of z-rostudirsen in patients with DMD amenable to skipping exon 51. We received a clinical hold letter from the FDA in January 2022 requesting additional clinical and non-clinical information for z-rostudirsen, which we submitted before the FDA ultimately cleared the IND in July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There are equivalent processes and risks applicable to clinical trial applications in other countries, including countries in the European Union.</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Commercialization of any product candidates we may develop will require preclinical and clinical development; regulatory and marketing approval in any jurisdiction where we seek to commercialize such product candidates, such as the FDA and the European Medicines Agency, or EMA; manufacturing supply, capacity and expertise; a commercial organization; and significant marketing efforts. The success of product candidates we may develop will depend on many factors, including the following:</w:t>
      </w:r>
    </w:p>
    <w:p>
      <w:pPr>
        <w:spacing w:after="0" w:line="66"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timely and successful completion of preclinical studies;</w:t>
      </w:r>
    </w:p>
    <w:p>
      <w:pPr>
        <w:spacing w:after="0" w:line="116" w:lineRule="exact"/>
        <w:rPr>
          <w:rFonts w:ascii="Times New Roman" w:cs="Times New Roman" w:eastAsia="Times New Roman" w:hAnsi="Times New Roman"/>
          <w:sz w:val="18"/>
          <w:szCs w:val="18"/>
          <w:color w:val="auto"/>
        </w:rPr>
      </w:pPr>
    </w:p>
    <w:p>
      <w:pPr>
        <w:ind w:left="760" w:right="20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INDs or comparable foreign applications that allow commencement of clinical trials or future clinical trials for any product candidates we may develop;</w:t>
      </w:r>
    </w:p>
    <w:p>
      <w:pPr>
        <w:spacing w:after="0" w:line="46"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enrollment and completion of clinical trials, including under the FDA’s current Good Clinical Practices, or cGCPs, current Good Laboratory Practices, or cGLPs, and any additional regulatory requirements from foreign regulatory authorities;</w:t>
      </w:r>
    </w:p>
    <w:p>
      <w:pPr>
        <w:spacing w:after="0" w:line="46" w:lineRule="exact"/>
        <w:rPr>
          <w:rFonts w:ascii="Times New Roman" w:cs="Times New Roman" w:eastAsia="Times New Roman" w:hAnsi="Times New Roman"/>
          <w:sz w:val="18"/>
          <w:szCs w:val="18"/>
          <w:color w:val="auto"/>
        </w:rPr>
      </w:pPr>
    </w:p>
    <w:p>
      <w:pPr>
        <w:ind w:left="760" w:right="36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positive results from our clinical trials or future clinical trials that support a finding of safety and effectiveness and an acceptable risk-benefit profile in the intended populations;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760" w:right="4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arrangements through our own facilities or with third-party manufacturers for clinical supply and, where applicable, commercial manufacturing capabilities;</w:t>
      </w:r>
    </w:p>
    <w:p>
      <w:pPr>
        <w:spacing w:after="0" w:line="46" w:lineRule="exact"/>
        <w:rPr>
          <w:rFonts w:ascii="Times New Roman" w:cs="Times New Roman" w:eastAsia="Times New Roman" w:hAnsi="Times New Roman"/>
          <w:sz w:val="18"/>
          <w:szCs w:val="18"/>
          <w:color w:val="auto"/>
        </w:rPr>
      </w:pPr>
    </w:p>
    <w:p>
      <w:pPr>
        <w:ind w:left="760" w:right="12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maintenance, defense and enforcement of patent, trademark, trade secret and other intellectual property protection or regulatory exclusivity for any product candidates we may develop;</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launch of any product candidates we may develop, if approved, whether alone or in collaboration with others;</w:t>
      </w:r>
    </w:p>
    <w:p>
      <w:pPr>
        <w:spacing w:after="0" w:line="116" w:lineRule="exact"/>
        <w:rPr>
          <w:rFonts w:ascii="Times New Roman" w:cs="Times New Roman" w:eastAsia="Times New Roman" w:hAnsi="Times New Roman"/>
          <w:sz w:val="18"/>
          <w:szCs w:val="18"/>
          <w:color w:val="auto"/>
        </w:rPr>
      </w:pPr>
    </w:p>
    <w:p>
      <w:pPr>
        <w:ind w:left="760" w:right="40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acceptance of the benefits and use of our product candidates we may develop, including method of administration, if and when approved, by patients, the medical community and third-party payers;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competition with other therapies;</w:t>
      </w:r>
    </w:p>
    <w:p>
      <w:pPr>
        <w:spacing w:after="0" w:line="116"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maintenance of a continued acceptable safety, tolerability and efficacy profile of any product candidates we may develop following approval; and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and maintenance of healthcare coverage and adequate reimbursement by payers.</w:t>
      </w:r>
    </w:p>
    <w:p>
      <w:pPr>
        <w:spacing w:after="0" w:line="21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any product candidates we may develop, which would materially harm our business. If we are unable to advance our product candidates into and through clinical development, obtain regulatory approval and ultimately commercialize our product candidates, or experience significant delays in doing so, our business will be materially harmed.</w:t>
      </w:r>
    </w:p>
    <w:p>
      <w:pPr>
        <w:spacing w:after="0" w:line="162" w:lineRule="exact"/>
        <w:rPr>
          <w:sz w:val="20"/>
          <w:szCs w:val="20"/>
          <w:color w:val="auto"/>
        </w:rPr>
      </w:pPr>
    </w:p>
    <w:p>
      <w:pPr>
        <w:jc w:val="both"/>
        <w:ind w:right="540"/>
        <w:spacing w:after="0" w:line="278" w:lineRule="auto"/>
        <w:rPr>
          <w:sz w:val="20"/>
          <w:szCs w:val="20"/>
          <w:color w:val="auto"/>
        </w:rPr>
      </w:pPr>
      <w:r>
        <w:rPr>
          <w:rFonts w:ascii="Arial" w:cs="Arial" w:eastAsia="Arial" w:hAnsi="Arial"/>
          <w:sz w:val="17"/>
          <w:szCs w:val="17"/>
          <w:b w:val="1"/>
          <w:bCs w:val="1"/>
          <w:i w:val="1"/>
          <w:iCs w:val="1"/>
          <w:color w:val="auto"/>
        </w:rPr>
        <w:t>We may encounter substantial delays in commencement, enrollment or completion of our clinical trials and the data from the clinical trials of our product candidates may fail to demonstrate sufficient safety and efficacy to the satisfaction of applicable regulatory authorities, which could prevent us from commercializing any product candidates on a timely basis, if at all.</w:t>
      </w:r>
    </w:p>
    <w:p>
      <w:pPr>
        <w:spacing w:after="0" w:line="3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risk of failure in developing product candidates is high. It is impossible to predict when or if any product candidate would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product candidates in humans. We have not yet completed clinical development of any product candidate. Clinical trials may fail to demonstrate that our product</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9" w:name="page40"/>
    <w:bookmarkEnd w:id="39"/>
    <w:p>
      <w:pPr>
        <w:ind w:right="460"/>
        <w:spacing w:after="0" w:line="253" w:lineRule="auto"/>
        <w:rPr>
          <w:sz w:val="20"/>
          <w:szCs w:val="20"/>
          <w:color w:val="auto"/>
        </w:rPr>
      </w:pPr>
      <w:r>
        <w:rPr>
          <w:rFonts w:ascii="Arial" w:cs="Arial" w:eastAsia="Arial" w:hAnsi="Arial"/>
          <w:sz w:val="18"/>
          <w:szCs w:val="18"/>
          <w:color w:val="auto"/>
        </w:rPr>
        <w:t>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5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Before we can commence clinical trials for a product candidate, we must complete extensive preclinical testing and studies that support our INDs and other regulatory filings. We cannot be certain of the timely identification of a product candidate or the completion or outcome of our preclinical testing and studies and cannot predict whether the FDA will accept our proposed clinical programs or whether the outcome of our preclinical testing and studies will ultimately support the further development of any product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for our preclinical product candidates on the timelines we expect, if at all, and we cannot be sure that submission of INDs will result in the FDA allowing clinical trials to begin in the United States.</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Furthermore, product candidates are subject to continued preclinical safety studies, which may be conducted concurrently with our clinical testing. The outcomes of these safety studies may delay the launch of or enrollment in clinical trials and could impact our ability to continue to conduct our clinical trials.</w:t>
      </w:r>
    </w:p>
    <w:p>
      <w:pPr>
        <w:spacing w:after="0" w:line="15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Other events that may prevent successful or timely completion of clinical development include:</w:t>
      </w:r>
    </w:p>
    <w:p>
      <w:pPr>
        <w:spacing w:after="0" w:line="10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 consensus with regulatory authorities on trial design;</w:t>
      </w:r>
    </w:p>
    <w:p>
      <w:pPr>
        <w:spacing w:after="0" w:line="116" w:lineRule="exact"/>
        <w:rPr>
          <w:rFonts w:ascii="Times New Roman" w:cs="Times New Roman" w:eastAsia="Times New Roman" w:hAnsi="Times New Roman"/>
          <w:sz w:val="18"/>
          <w:szCs w:val="18"/>
          <w:color w:val="auto"/>
        </w:rPr>
      </w:pPr>
    </w:p>
    <w:p>
      <w:pPr>
        <w:ind w:left="760" w:right="42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agreement on acceptable terms with prospective contract research organizations, or CROs, and clinical trial sites;</w:t>
      </w:r>
    </w:p>
    <w:p>
      <w:pPr>
        <w:spacing w:after="0" w:line="46" w:lineRule="exact"/>
        <w:rPr>
          <w:rFonts w:ascii="Times New Roman" w:cs="Times New Roman" w:eastAsia="Times New Roman" w:hAnsi="Times New Roman"/>
          <w:sz w:val="18"/>
          <w:szCs w:val="18"/>
          <w:color w:val="auto"/>
        </w:rPr>
      </w:pPr>
    </w:p>
    <w:p>
      <w:pPr>
        <w:ind w:left="760" w:right="70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opening clinical trial sites or obtaining required institutional review board, or IRB, or independent ethics committee approval, or the equivalent review groups for sites outside the United States, at each clinical trial site;</w:t>
      </w:r>
    </w:p>
    <w:p>
      <w:pPr>
        <w:spacing w:after="0" w:line="46" w:lineRule="exact"/>
        <w:rPr>
          <w:rFonts w:ascii="Times New Roman" w:cs="Times New Roman" w:eastAsia="Times New Roman" w:hAnsi="Times New Roman"/>
          <w:sz w:val="18"/>
          <w:szCs w:val="18"/>
          <w:color w:val="auto"/>
        </w:rPr>
      </w:pPr>
    </w:p>
    <w:p>
      <w:pPr>
        <w:ind w:left="760" w:right="16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clinical hold by regulatory authorities as a result of a serious adverse event or after an inspection of our clinical trial operations or trial sites;</w:t>
      </w:r>
    </w:p>
    <w:p>
      <w:pPr>
        <w:spacing w:after="0" w:line="46" w:lineRule="exact"/>
        <w:rPr>
          <w:rFonts w:ascii="Times New Roman" w:cs="Times New Roman" w:eastAsia="Times New Roman" w:hAnsi="Times New Roman"/>
          <w:sz w:val="18"/>
          <w:szCs w:val="18"/>
          <w:color w:val="auto"/>
        </w:rPr>
      </w:pPr>
    </w:p>
    <w:p>
      <w:pPr>
        <w:ind w:left="760" w:right="18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negative or inconclusive results observed in clinical trials, including failure to demonstrate statistical significance, which could lead us, or cause regulators to require us, to conduct additional clinical trials or abandon product development programs;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any CROs we engage or any other third parties to adhere to clinical trial requirements;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perform in accordance with the FDA’s cGCPs;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physicians to adhere to delivery protocols leading to variable results;</w:t>
      </w:r>
    </w:p>
    <w:p>
      <w:pPr>
        <w:spacing w:after="0" w:line="116" w:lineRule="exact"/>
        <w:rPr>
          <w:rFonts w:ascii="Times New Roman" w:cs="Times New Roman" w:eastAsia="Times New Roman" w:hAnsi="Times New Roman"/>
          <w:sz w:val="18"/>
          <w:szCs w:val="18"/>
          <w:color w:val="auto"/>
        </w:rPr>
      </w:pPr>
    </w:p>
    <w:p>
      <w:pPr>
        <w:ind w:left="760" w:right="76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testing, validation, manufacturing and delivery of any product candidates we may develop to the clinical sites, including delays by third parties with whom we have contracted to perform certain of those functions;</w:t>
      </w:r>
    </w:p>
    <w:p>
      <w:pPr>
        <w:spacing w:after="0" w:line="46"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our third-party contractors to comply with regulatory requirements or to meet their contractual obligations to us in a timely manner, or at all;</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or patients dropping out of a trial;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left="760" w:right="40" w:hanging="378"/>
        <w:spacing w:after="0" w:line="252"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occurrence of serious adverse events associated with a product candidate in development by another company, which are viewed to outweigh its potential benefits, and which may negatively impact the perception of our product due to a similarity in technology or approach;</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legal or regulatory regimes domestically or internationally related to patient rights and privacy;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Any inability to successfully complete preclinical studies and clinical trials could result in additional costs to us or impair our ability to generate revenues from product sales, regulatory and commercialization milestones and royalties. In addition, if we make manufacturing or formulation changes to any product candidates, we may need to conduct additional studies or trials to bridge our modified product candidates to earlier versions. Clinical trial delays also could shorten any periods during which we may have the exclusive right to commercialize any product candidates we may develop or allow our competitors to bring products to market before we do, which could impair our ability to successfully commercialize any product candidates we may develop and may harm our business, financial condition, results of operations and prospects.</w:t>
      </w:r>
    </w:p>
    <w:p>
      <w:pPr>
        <w:spacing w:after="0" w:line="15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any product candidates we may develop, we may:</w:t>
      </w:r>
    </w:p>
    <w:p>
      <w:pPr>
        <w:spacing w:after="0" w:line="46"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obtaining marketing approval for product candidates, if at all;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changes in the way the product is administered;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1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modified risk evaluation and mitigation strategy;</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be sued;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damage to our reputation.</w:t>
      </w:r>
    </w:p>
    <w:p>
      <w:pPr>
        <w:spacing w:after="0" w:line="21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particular, each of the conditions for which we plan to develop product candidates are rare genetic diseases with limited patient pools from which to draw for clinical trials. Further, because it can be difficult to diagnose these diseases in the absence of a genetic screen, we may have difficulty finding patients who are eligible to participate in our studies. The eligibility criteria of our clinical trials will further limit the pool of available study participants. Additionally, the process of finding and diagnosing patients may prove costly. The treating physicians in our clinical trials may also use their medical discretion in advising patients enrolled in our clinical trials to withdraw from our studies to try alternative therapies.</w:t>
      </w:r>
    </w:p>
    <w:p>
      <w:pPr>
        <w:spacing w:after="0" w:line="1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if we are slow or unable to adapt to changes in existing requirements or the adoption of new requirements or policies governing clinical trials, our development plans may be impacted. For example, in December 2022, with the passage of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the DAPs. Unlike most guidance documents issued by the FDA, the DAP guidance, when finalized, will have the force of law as FDORA specifically dictates that the form and manner for submission of DAPs are specified in FDA guidance.</w:t>
      </w:r>
    </w:p>
    <w:p>
      <w:pPr>
        <w:spacing w:after="0" w:line="17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On January 27, 2025, in response to an executive order issued by President Trump on January 21, 2025 on diversity, equity and inclusion programs, the FDA removed the draft DAP guidance from its website. Subsequently, in July 2025, pursuant to a court order,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ind w:right="420"/>
        <w:spacing w:after="0" w:line="271" w:lineRule="auto"/>
        <w:rPr>
          <w:sz w:val="20"/>
          <w:szCs w:val="20"/>
          <w:color w:val="auto"/>
        </w:rPr>
      </w:pPr>
      <w:r>
        <w:rPr>
          <w:rFonts w:ascii="Arial" w:cs="Arial" w:eastAsia="Arial" w:hAnsi="Arial"/>
          <w:sz w:val="18"/>
          <w:szCs w:val="18"/>
          <w:color w:val="auto"/>
        </w:rPr>
        <w:t>surrounding the draft DAP guidance and how the FDA will consider diversity action plans in connection with its review of applications for marketing approval.</w:t>
      </w:r>
    </w:p>
    <w:p>
      <w:pPr>
        <w:spacing w:after="0" w:line="14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regulatory landscape related to clinical trials in the European Union has also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introduced a centralized process and only requires the submission of a single application to all member states concerned. If we are not able to fulfill these requirements, our ability to conduct clinical trials may be delayed or halted.</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based on our FORCE platform is unproven, and we may not be successful in our efforts to identify, discover or develop potential product candidates.</w:t>
      </w:r>
    </w:p>
    <w:p>
      <w:pPr>
        <w:spacing w:after="0" w:line="12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success of our business depends upon our ability to identify, develop and commercialize products based on our proprietary FORCE platform. Our therapeutics are constructed from three components: a proprietary Fab, a linker and a therapeutic payload that we attach to our Fab using the linker. The Fab is engineered to bind to TfR1 to enable targeted delivery of nucleic acids and other molecules to skeletal, cardiac and smooth muscle.</w:t>
      </w:r>
    </w:p>
    <w:p>
      <w:pPr>
        <w:spacing w:after="0" w:line="16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All of our product candidates are still in varying stages of preclinical and clinical development, and our approach to treating muscle disease is unproven. Our research programs may fail to identify additional product candidates for clinical development for a number of reasons. Our research methodology may be unsuccessful in identifying additional potential product candidates and our potential product candidates may be shown to have harmful side effects in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or animal model studies. In addition, our product candidates may not show promising signals of therapeutic effect in such experiments or studies or they may have other characteristics that may make the product candidates impractical to manufacture, unmarketable or unlikely to receive marketing approval. Further, because all of our product candidates and programs are based on our FORCE platform, adverse developments with respect to one of our product candidates and programs may have a significant adverse impact on the actual or perceived likelihood of success and value of our other product candidates and programs.</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we have not completed clinical development of any product candidate or successfully developed any product candidates, and our ability to identify and develop product candidates may never materialize. The process by which we identify and develop product candidates may fail to yield product candidates for clinical development for a number of reasons, including those discussed in these risk factors. In addition:</w:t>
      </w:r>
    </w:p>
    <w:p>
      <w:pPr>
        <w:spacing w:after="0" w:line="66"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assemble sufficient resources to acquire or discover product candidates;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we develop may nevertheless be covered by third parties’ patents or other intellectual property rights;</w:t>
      </w:r>
    </w:p>
    <w:p>
      <w:pPr>
        <w:spacing w:after="0" w:line="62" w:lineRule="exact"/>
        <w:rPr>
          <w:rFonts w:ascii="Times New Roman" w:cs="Times New Roman" w:eastAsia="Times New Roman" w:hAnsi="Times New Roman"/>
          <w:sz w:val="18"/>
          <w:szCs w:val="18"/>
          <w:color w:val="auto"/>
        </w:rPr>
      </w:pPr>
    </w:p>
    <w:p>
      <w:pPr>
        <w:ind w:left="760" w:right="60" w:hanging="378"/>
        <w:spacing w:after="0" w:line="265"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may, on further study, be shown to have harmful side effects, toxicities or other characteristics that indicate that they are unlikely to be products that will receive marketing approval and achieve market acceptance;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may not be effective in treating their targeted diseases or disorders;</w:t>
      </w:r>
    </w:p>
    <w:p>
      <w:pPr>
        <w:spacing w:after="0" w:line="62" w:lineRule="exact"/>
        <w:rPr>
          <w:rFonts w:ascii="Times New Roman" w:cs="Times New Roman" w:eastAsia="Times New Roman" w:hAnsi="Times New Roman"/>
          <w:sz w:val="18"/>
          <w:szCs w:val="18"/>
          <w:color w:val="auto"/>
        </w:rPr>
      </w:pPr>
    </w:p>
    <w:p>
      <w:pPr>
        <w:ind w:left="760" w:right="880" w:hanging="378"/>
        <w:spacing w:after="0" w:line="265"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candidate may not be capable of being produced in commercial quantities at an acceptable cost, or at all; or</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pathway for a product candidate may be too complex and difficult to navigate successfully or economically.</w:t>
      </w:r>
    </w:p>
    <w:p>
      <w:pPr>
        <w:spacing w:after="0" w:line="21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If we are unable to identify and discover suitable product candidates for clinical development, this would adversely impact our business strategy and our financial position and share price and could potentially cause us to cease operations.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p>
      <w:pPr>
        <w:jc w:val="both"/>
        <w:ind w:right="160"/>
        <w:spacing w:after="0" w:line="256" w:lineRule="auto"/>
        <w:rPr>
          <w:sz w:val="20"/>
          <w:szCs w:val="20"/>
          <w:color w:val="auto"/>
        </w:rPr>
      </w:pPr>
      <w:r>
        <w:rPr>
          <w:rFonts w:ascii="Arial" w:cs="Arial" w:eastAsia="Arial" w:hAnsi="Arial"/>
          <w:sz w:val="18"/>
          <w:szCs w:val="18"/>
          <w:b w:val="1"/>
          <w:bCs w:val="1"/>
          <w:i w:val="1"/>
          <w:iCs w:val="1"/>
          <w:color w:val="auto"/>
        </w:rPr>
        <w:t>The outcome of preclinical studies and data from earlier -stage clinical trials may not be predictive of final results or future results of clinical trials or the success of later clinical trials and data from clinical trials in one indication may not be predictive of results of clinical trials in other indications.</w:t>
      </w:r>
    </w:p>
    <w:p>
      <w:pPr>
        <w:spacing w:after="0" w:line="14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have not completed clinical development of any product candidate. As a result, our belief in the capabilities of our platform, including our belief that we have demonstrated proof of concept of our FORCE platform, is based on early research, preclinical studies and data from clinical trials of our product candidates. However, the results of preclinical studies may not be predictive of the results of later preclinical studies or clinical trials, and the initial results of any clinical trials, such as initial results of DELIVER and ACHIEVE that we have reported, may not be predictive of the final results of those trials or the results of any later clinical trials, and may also not be predictive of results of clinical trials in other indications.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 certain of our hypotheses regarding the potential benefits of our product candidates compared to alternative therapies and treatments are based on cross-trial comparisons of results that were not derived from head-to-head clinical trials. Such clinical trial data may not be directly comparable due to differences in study protocols, conditions and patient populations. Accordingly, these cross-trial comparisons may not be reliable predictors of the relative efficacy or other benefits of our product candidates compared to other product candidates that may have been approved previously.</w:t>
      </w:r>
    </w:p>
    <w:p>
      <w:pPr>
        <w:spacing w:after="0" w:line="7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clinical trials may not ultimately be successful or support further clinical development of any product candidates we may develop. There is a high failure rate for product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and results of operations.</w:t>
      </w:r>
    </w:p>
    <w:p>
      <w:pPr>
        <w:spacing w:after="0" w:line="162"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ability to complete clinical trials may be adversely impacted.</w:t>
      </w:r>
    </w:p>
    <w:p>
      <w:pPr>
        <w:spacing w:after="0" w:line="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Identifying and qualifying patients to participate in clinical trials of any product candidates we may develop is critical to our success. We may not be able to identify, recruit and enroll a sufficient number of patients, or those with required or desired characteristics, to complete our clinical trials in a timely manner. Patient enrollment and trial completion is affected by factors including:</w:t>
      </w:r>
    </w:p>
    <w:p>
      <w:pPr>
        <w:spacing w:after="0" w:line="61"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perceived risks and benefits of novel unproven approaches;</w:t>
      </w:r>
    </w:p>
    <w:p>
      <w:pPr>
        <w:spacing w:after="0" w:line="116"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size of the patient population, in particular for rare diseases such as the diseases on which we are initially focused, and process for identifying patients;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design of the trial protocol;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eligibility and exclusion criteria;</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perceived risks and benefits of the product candidate under study;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availability of competing therapies and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severity of the disease or disorder under investigation;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proximity and availability of clinical trial sites for prospective patients;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ability to obtain and maintain patient consent;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risk that enrolled patients will drop out before completion of the trial;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patient referral practices of physicians;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ability to monitor patients adequately during and after treatment.</w:t>
      </w:r>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rely on and expect to continue to rely on CROs and clinical trial sites to ensure the proper and timely conduct of our clinical trials and we will have limited influence over their performance.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3" w:name="page44"/>
    <w:bookmarkEnd w:id="43"/>
    <w:p>
      <w:pPr>
        <w:ind w:right="40"/>
        <w:spacing w:after="0" w:line="261" w:lineRule="auto"/>
        <w:rPr>
          <w:sz w:val="20"/>
          <w:szCs w:val="20"/>
          <w:color w:val="auto"/>
        </w:rPr>
      </w:pPr>
      <w:r>
        <w:rPr>
          <w:rFonts w:ascii="Arial" w:cs="Arial" w:eastAsia="Arial" w:hAnsi="Arial"/>
          <w:sz w:val="17"/>
          <w:szCs w:val="17"/>
          <w:color w:val="auto"/>
        </w:rPr>
        <w:t>Even if we are able to enroll a sufficient number of patients for our clinical trials, we may have difficulty maintaining patients in our clinical trials. Many of the patients who end up receiving placebo may perceive that they are not receiving the product candidate being tested, and they may decide to withdraw from our clinical trials to pursue other alternative therapies rather than continue the trial with the perception that they are receiving placebo. If we have difficulty enrolling or maintaining a sufficient number of patients to conduct our clinical trials, we may need to delay, limit or terminate clinical trials, any of which would harm our business, financial condition, results of operations and prospects.</w:t>
      </w:r>
    </w:p>
    <w:p>
      <w:pPr>
        <w:spacing w:after="0" w:line="154"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If any product candidates we may develop cause undesirable side effects or have other unexpected adverse properties, such side effects or properties could delay or prevent us from conducting clinical trials or seeking or obtaining regulatory approval, limit the commercial potential of our product candidates or result in significant negative consequences to the extent such effects or adverse properties are observed following any marketing approval.</w:t>
      </w:r>
    </w:p>
    <w:p>
      <w:pPr>
        <w:spacing w:after="0" w:line="5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We have not completed clinical development of any product candidate. It is impossible to predict when or if any product candidates we may develop will prove safe in humans. There can be no assurance that our technologies will not cause undesirable side effects.</w:t>
      </w:r>
    </w:p>
    <w:p>
      <w:pPr>
        <w:spacing w:after="0" w:line="14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Although other oligonucleotide therapeutics have received regulatory approval, our approach for our DMD and DM1 programs, which combine oligonucleotides with a Fab, is a novel approach to oligonucleotide therapy. As a result, there is uncertainty as to the safety profile of product candidates we may develop compared to more well-established classes of therapies, or oligonucleotide therapeutics on their own. Moreover, there have been only a limited number of clinical trials involving the use of conjugated oligonucleotide therapeutics.</w:t>
      </w:r>
    </w:p>
    <w:p>
      <w:pPr>
        <w:spacing w:after="0" w:line="16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early-stage testing have later been found to cause side effects that prevented further clinical development of the product candidates.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in the future we are unable to demonstrate that such side effects were caused by factors other than our product candidates, the FDA, the EMA or other regulatory authorities could order us to cease further development of, or deny approval of, any product candidates for any or all targeted indications. Even if we are able to demonstrate that any future serious adverse events are not product-related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product candidate,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69" w:lineRule="exact"/>
        <w:rPr>
          <w:sz w:val="20"/>
          <w:szCs w:val="20"/>
          <w:color w:val="auto"/>
        </w:rPr>
      </w:pPr>
    </w:p>
    <w:p>
      <w:pPr>
        <w:jc w:val="both"/>
        <w:ind w:right="460"/>
        <w:spacing w:after="0" w:line="27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program, product candidate or indication and fail to capitalize on programs, product candidates or indications that may be more profitable or for which there is a greater likelihood of success.</w:t>
      </w:r>
    </w:p>
    <w:p>
      <w:pPr>
        <w:spacing w:after="0" w:line="3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or we may choose to focus our efforts and resources on a potential product candidate that ultimately proves to be unsuccessful.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4" w:name="page45"/>
    <w:bookmarkEnd w:id="44"/>
    <w:p>
      <w:pPr>
        <w:ind w:right="140"/>
        <w:spacing w:after="0" w:line="278"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could cause us to incur substantial liabilities and could limit commercialization of our product candidates.</w:t>
      </w:r>
    </w:p>
    <w:p>
      <w:pPr>
        <w:spacing w:after="0" w:line="3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will face an inherent risk of clinical trial and product liability exposure related to the testing of our product candidates in clinical trials, and we will face an even greater risk if we commercially sell any products that we may develop. While we currently have no product candidates that have been approved for commercial sale, the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product candidates we may develop;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any related litigation;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reduced resources of our management to pursue our business strategy;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product candidates we may develop.</w:t>
      </w:r>
    </w:p>
    <w:p>
      <w:pPr>
        <w:spacing w:after="0" w:line="21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have increased our insurance coverage in countries in which we plan to conduct clinical trials and will need to increase our insurance coverage if we conduct clinical trials in additional countries or of additional product candidates or if we commence commercialization of any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6" w:lineRule="exact"/>
        <w:rPr>
          <w:sz w:val="20"/>
          <w:szCs w:val="20"/>
          <w:color w:val="auto"/>
        </w:rPr>
      </w:pPr>
    </w:p>
    <w:p>
      <w:pPr>
        <w:ind w:right="640"/>
        <w:spacing w:after="0" w:line="278"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or all aspects of our product manufacturing, or our research and preclinical and clinical testing, and these third parties may not perform satisfactorily.</w:t>
      </w:r>
    </w:p>
    <w:p>
      <w:pPr>
        <w:spacing w:after="0" w:line="3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do not expect to independently conduct all aspects of our product manufacturing, or our research and preclinical and clinical testing. We currently rely, and expect to continue to rely, on third parties with respect to many of these items, including CMOs, for the manufacturing of any product candidates we test in preclinical or clinical development, as well as CROs for portions of our animal testing, preclinical research and for the conduct of our clinical trials. Any of these third parties may terminate their engagements with us at any time. If we need to enter into alternative arrangements, it could delay our product development activities.</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IND/CTA-enabling studies and clinical trials are conducted in accordance with the study plan and protocols. Moreover, the FDA requires us to comply with cGCPs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cGCPs,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cGCP regulations. In addition, our clinical trials must be conducted with product produced under conditions that comply with the FDA’s current Good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5" w:name="page46"/>
    <w:bookmarkEnd w:id="45"/>
    <w:p>
      <w:pPr>
        <w:ind w:right="20"/>
        <w:spacing w:after="0" w:line="271" w:lineRule="auto"/>
        <w:rPr>
          <w:sz w:val="20"/>
          <w:szCs w:val="20"/>
          <w:color w:val="auto"/>
        </w:rPr>
      </w:pPr>
      <w:r>
        <w:rPr>
          <w:rFonts w:ascii="Arial" w:cs="Arial" w:eastAsia="Arial" w:hAnsi="Arial"/>
          <w:sz w:val="18"/>
          <w:szCs w:val="18"/>
          <w:color w:val="auto"/>
        </w:rPr>
        <w:t>Manufacturing Practices. Our failure to comply with these regulations may require us to repeat clinical trials, which would delay the regulatory approval process.</w:t>
      </w:r>
    </w:p>
    <w:p>
      <w:pPr>
        <w:spacing w:after="0" w:line="140" w:lineRule="exact"/>
        <w:rPr>
          <w:sz w:val="20"/>
          <w:szCs w:val="20"/>
          <w:color w:val="auto"/>
        </w:rPr>
      </w:pPr>
    </w:p>
    <w:p>
      <w:pPr>
        <w:jc w:val="both"/>
        <w:ind w:right="100"/>
        <w:spacing w:after="0" w:line="244" w:lineRule="auto"/>
        <w:rPr>
          <w:sz w:val="20"/>
          <w:szCs w:val="20"/>
          <w:color w:val="auto"/>
        </w:rPr>
      </w:pPr>
      <w:r>
        <w:rPr>
          <w:rFonts w:ascii="Arial" w:cs="Arial" w:eastAsia="Arial" w:hAnsi="Arial"/>
          <w:sz w:val="18"/>
          <w:szCs w:val="18"/>
          <w:color w:val="auto"/>
        </w:rPr>
        <w:t>Although we design the clinical trials for our product candidates, CROs conduct some or all of the clinical trials. As a result, many important aspects of our development programs, including their conduct and timing, will be outside of our direct control. Our reliance on third parties to conduct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68"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have staffing difficulties;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fail to comply with contractual obligations;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regulatory compliance issues;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undergo changes in priorities or become financially distressed;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preclinical studies and clinical trials and may subject us to unexpected cost increases that are beyond our control.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 CROs and other third parties do not perform preclinical studies and clinical trials in a satisfactory manner, if the quality or accuracy of the clinical data they obtain is compromised due to the failure to adhere to our clinical protocols, or if they breach their obligations to us or fail to comply with regulatory requirements, the development, regulatory approval and commercialization of any product candidates we may develop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172"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If third parties do not successfully carry out their contractual duties, meet expected deadlines or conduct our studies in accordance with regulatory requirements or our stated study plans and protocols, we will not be able to complete, or may be delayed in completing, the preclinical studies and clinical trials required to support future IND submissions and approval of any product candidates we may develop.</w:t>
      </w:r>
    </w:p>
    <w:p>
      <w:pPr>
        <w:spacing w:after="0" w:line="140"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currently depend on a small number of third-party suppliers for the manufacture of our Fab, the linkers and payloads. The loss of these or future third-party suppliers, or their inability to provide us with sufficient supply, could harm our business.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do not own or operate manufacturing facilities and have no current plans to develop our own clinical or commercial-scale manufacturing capabilities. In the future, we may seek to establish our own manufacturing facility for the long-term commercial supply of any product candidates we may develop and which receive regulatory approval. We rely on a small number of third-party suppliers for the manufacture of our Fab, linkers and payloads. We expect to continue to depend on third-party suppliers for the manufacture of any product candidates that we evaluate in preclinical studies and clinical trials, as well as for commercial manufacture if those product candidates receive marketing approval. The facilities used by third-party manufacturers to manufacture our product candidates must be approved by the FDA and any comparable foreign regulatory authority pursuant to inspections that will be conducted after we submit a biologics license application, or BLA, to the FDA or any comparable filing to a foreign regulatory authority. We do not control the manufacturing process of, and are completely dependent on, third-party manufacturers for compliance with current good manufacturing practice, or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w:t>
      </w:r>
    </w:p>
    <w:p>
      <w:pPr>
        <w:spacing w:after="0" w:line="16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product candidates consist of a proprietary Fab conjugated with a linker to a payload. Our Fab is manufactured by starting with cells which are stored in a cell bank. If we lose multiple cell banks, our manufacturing will be adversely impacted by the need to replace the cell banks.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line="238" w:lineRule="auto"/>
        <w:rPr>
          <w:sz w:val="20"/>
          <w:szCs w:val="20"/>
          <w:color w:val="auto"/>
        </w:rPr>
      </w:pPr>
      <w:r>
        <w:rPr>
          <w:rFonts w:ascii="Arial" w:cs="Arial" w:eastAsia="Arial" w:hAnsi="Arial"/>
          <w:sz w:val="18"/>
          <w:szCs w:val="18"/>
          <w:color w:val="auto"/>
        </w:rPr>
        <w:t>In addition, we have no control over the ability of third-party manufacturers to maintain adequate quality control, quality assurance and qualified personnel. If the FDA or any comparable foreign regulatory authority does not approve these facilities for the manufacture of any product candidates we may develop or if it withdraws any such approval in the future, we may need to find alternative manufacturing facilities, which would significantly impact our ability to develop, obtain regulatory approval for or market any product candidates we may develop,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 In addition, certain Chinese biotechnology companies and CMOs that supply us with drug components may become subject to trade restrictions, sanctions, and other regulatory requirements by the U.S. government, which could restrict or even prohibit our ability to work with such entities, thereby potentially disrupting the supply of material to us. Such disruption could have adverse effects on the development of our product candidates and our business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may also seek to eventually establish our own manufacturing facility for the long-term commercial supply of any product candidates we may develop and which receive regulatory approval. If we determine to establish our own manufacturing facility and manufacture our products on our own, we will need to obtain the resources and expertise in order to build such manufacturing capabilities and to conduct such manufacturing operations. In addition, our conduct of such manufacturing operations will be subject to the extensive regulations and operational risks to which our third-party suppliers are subject. If we are not successful in building these capabilities or complying with the regulations or otherwise operating our manufacturing function, our commercial supply could be disrupted and our business could be materially harmed.</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or a third party’s failure to execute on our manufacturing requirements on commercially reasonable terms and in compliance with cGMP could adversely affect our business in a number of ways, including:</w:t>
      </w:r>
    </w:p>
    <w:p>
      <w:pPr>
        <w:spacing w:after="0" w:line="46"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to initiate preclinical studies or clinical trials of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submitting regulatory applications, or receiving marketing approvals, for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cease development or to recall batches of product candidates;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 the event of approval to market and commercialize any product, an inability to meet commercial demands for the product.</w:t>
      </w:r>
    </w:p>
    <w:p>
      <w:pPr>
        <w:spacing w:after="0" w:line="21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party to manufacturing agreements with a number of third-party manufacturers. We may be unable to maintain these agreements or establish any additional agreements with third-party manufacturers or to do so on acceptable terms. Even if we are able to maintain or establish agreements with third-party manufacturers, reliance on third-party manufacturers entails additional risks, including:</w:t>
      </w:r>
    </w:p>
    <w:p>
      <w:pPr>
        <w:spacing w:after="0" w:line="61"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 party;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according to our specifications;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according to our schedule or at all;</w:t>
      </w:r>
    </w:p>
    <w:p>
      <w:pPr>
        <w:spacing w:after="0" w:line="116"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legislation or government action, such as Section 851 of the FY26 National Defense Authorization Act, known as the BIOSECURE Act, restricting or placing additional financial burden on our ability to work with certain counterparties;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may compete with third parties for access to manufacturing facilities. There are a limited number of manufacturers that operate under cGMP regulations and that might be capable of manufacturing for us. Further, government action or new legislation could place limitations on our ability to rely on certain counterparties, or make it more expensive.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spacing w:after="0" w:line="253" w:lineRule="auto"/>
        <w:rPr>
          <w:sz w:val="20"/>
          <w:szCs w:val="20"/>
          <w:color w:val="auto"/>
        </w:rPr>
      </w:pPr>
      <w:r>
        <w:rPr>
          <w:rFonts w:ascii="Arial" w:cs="Arial" w:eastAsia="Arial" w:hAnsi="Arial"/>
          <w:sz w:val="18"/>
          <w:szCs w:val="18"/>
          <w:color w:val="auto"/>
        </w:rPr>
        <w:t>We do not currently have arrangements in place for redundant supply or a second source for all required raw materials and manufacturing services. If our existing or future third-party manufacturers cannot perform as agreed, we may be required to replace such manufacturers and we may be unable to replace them on a timely basis or at all.</w:t>
      </w:r>
    </w:p>
    <w:p>
      <w:pPr>
        <w:spacing w:after="0" w:line="15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Additionally, if supply from one approved manufacturer is interrupted, there could be a significant disruption in supply. An alternative manufacturer would need to be qualified through a BLA supplement which could result in further delay. The regulatory agencies may also require additional studies or trials if a new manufacturer is relied upon for commercial production. Switching manufacturers may involve substantial costs and is likely to result in a delay in our desired clinical and commercial timelines.</w:t>
      </w:r>
    </w:p>
    <w:p>
      <w:pPr>
        <w:spacing w:after="0" w:line="160"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60"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Our current and anticipated future dependence upon third parties for the manufacture of any product candidates we develop may adversely affect our development programs and our ability to commercialize any products that receive marketing approval on a timely and competitive basis.</w:t>
      </w:r>
    </w:p>
    <w:p>
      <w:pPr>
        <w:spacing w:after="0" w:line="15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We may from time to time be dependent on single-source suppliers for some of the components and materials used in the product candidates we may develop.</w:t>
      </w:r>
    </w:p>
    <w:p>
      <w:pPr>
        <w:spacing w:after="0" w:line="3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may from time to time depend on single-source suppliers for some of the components and materials used in any product candidate we may develop. For instance, we currently use a single or limited number of suppliers for each of our Fab, linkers and payloads.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6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we have to switch to a replacement supplier, the manufacture and delivery of any product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investigational medicines.</w:t>
      </w:r>
    </w:p>
    <w:p>
      <w:pPr>
        <w:spacing w:after="0" w:line="1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51"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If we enter into any such arrangements with any third parties, we will likely have limited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8" w:name="page49"/>
    <w:bookmarkEnd w:id="48"/>
    <w:p>
      <w:pPr>
        <w:ind w:right="720"/>
        <w:spacing w:after="0" w:line="271" w:lineRule="auto"/>
        <w:rPr>
          <w:sz w:val="20"/>
          <w:szCs w:val="20"/>
          <w:color w:val="auto"/>
        </w:rPr>
      </w:pPr>
      <w:r>
        <w:rPr>
          <w:rFonts w:ascii="Arial" w:cs="Arial" w:eastAsia="Arial" w:hAnsi="Arial"/>
          <w:sz w:val="18"/>
          <w:szCs w:val="18"/>
          <w:color w:val="auto"/>
        </w:rPr>
        <w:t>Collaborations involving our research programs or any product candidates we may develop pose numerous risks to us, including the following:</w:t>
      </w:r>
    </w:p>
    <w:p>
      <w:pPr>
        <w:spacing w:after="0" w:line="46"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would have significant discretion in determining the efforts and resources that they will apply to these collaborations;</w:t>
      </w:r>
    </w:p>
    <w:p>
      <w:pPr>
        <w:spacing w:after="0" w:line="116" w:lineRule="exact"/>
        <w:rPr>
          <w:rFonts w:ascii="Times New Roman" w:cs="Times New Roman" w:eastAsia="Times New Roman" w:hAnsi="Times New Roman"/>
          <w:sz w:val="18"/>
          <w:szCs w:val="18"/>
          <w:color w:val="auto"/>
        </w:rPr>
      </w:pPr>
    </w:p>
    <w:p>
      <w:pPr>
        <w:ind w:left="760" w:right="20" w:hanging="378"/>
        <w:spacing w:after="0" w:line="252"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2" w:lineRule="exact"/>
        <w:rPr>
          <w:rFonts w:ascii="Times New Roman" w:cs="Times New Roman" w:eastAsia="Times New Roman" w:hAnsi="Times New Roman"/>
          <w:sz w:val="18"/>
          <w:szCs w:val="18"/>
          <w:color w:val="auto"/>
        </w:rPr>
      </w:pPr>
    </w:p>
    <w:p>
      <w:pPr>
        <w:ind w:left="760" w:right="180" w:hanging="378"/>
        <w:spacing w:after="0" w:line="252"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delay programs, preclinical studies or clinical trials, provide insufficient funding for programs, preclinical studies or clinical trials, stop a preclinical study or clinical trial or abandon a product candidate, repeat or conduct new clinical trials or require a new formulation of a product candidate for clinical testing;</w:t>
      </w:r>
    </w:p>
    <w:p>
      <w:pPr>
        <w:spacing w:after="0" w:line="62" w:lineRule="exact"/>
        <w:rPr>
          <w:rFonts w:ascii="Times New Roman" w:cs="Times New Roman" w:eastAsia="Times New Roman" w:hAnsi="Times New Roman"/>
          <w:sz w:val="18"/>
          <w:szCs w:val="18"/>
          <w:color w:val="auto"/>
        </w:rPr>
      </w:pPr>
    </w:p>
    <w:p>
      <w:pPr>
        <w:ind w:left="760" w:right="620" w:hanging="378"/>
        <w:spacing w:after="0" w:line="252"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any product candidates we may develop if the collaborators believe that competitive products are more likely to be successfully developed or can be commercialized under terms that are more economically attractive than ours;</w:t>
      </w:r>
    </w:p>
    <w:p>
      <w:pPr>
        <w:spacing w:after="0" w:line="62" w:lineRule="exact"/>
        <w:rPr>
          <w:rFonts w:ascii="Times New Roman" w:cs="Times New Roman" w:eastAsia="Times New Roman" w:hAnsi="Times New Roman"/>
          <w:sz w:val="18"/>
          <w:szCs w:val="18"/>
          <w:color w:val="auto"/>
        </w:rPr>
      </w:pPr>
    </w:p>
    <w:p>
      <w:pPr>
        <w:ind w:left="760" w:right="500" w:hanging="378"/>
        <w:spacing w:after="0" w:line="270"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be acquired by a third party having competitive products or different priorities, causing the emphasis on our product development or commercialization program under such collaboration to be delayed, diminished or terminated;</w:t>
      </w:r>
    </w:p>
    <w:p>
      <w:pPr>
        <w:spacing w:after="0" w:line="46" w:lineRule="exact"/>
        <w:rPr>
          <w:rFonts w:ascii="Times New Roman" w:cs="Times New Roman" w:eastAsia="Times New Roman" w:hAnsi="Times New Roman"/>
          <w:sz w:val="18"/>
          <w:szCs w:val="18"/>
          <w:color w:val="auto"/>
        </w:rPr>
      </w:pPr>
    </w:p>
    <w:p>
      <w:pPr>
        <w:ind w:left="760" w:right="240" w:hanging="378"/>
        <w:spacing w:after="0" w:line="270"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46" w:lineRule="exact"/>
        <w:rPr>
          <w:rFonts w:ascii="Times New Roman" w:cs="Times New Roman" w:eastAsia="Times New Roman" w:hAnsi="Times New Roman"/>
          <w:sz w:val="18"/>
          <w:szCs w:val="18"/>
          <w:color w:val="auto"/>
        </w:rPr>
      </w:pPr>
    </w:p>
    <w:p>
      <w:pPr>
        <w:ind w:left="760" w:right="180" w:hanging="378"/>
        <w:spacing w:after="0" w:line="252"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62" w:lineRule="exact"/>
        <w:rPr>
          <w:rFonts w:ascii="Times New Roman" w:cs="Times New Roman" w:eastAsia="Times New Roman" w:hAnsi="Times New Roman"/>
          <w:sz w:val="18"/>
          <w:szCs w:val="18"/>
          <w:color w:val="auto"/>
        </w:rPr>
      </w:pPr>
    </w:p>
    <w:p>
      <w:pPr>
        <w:ind w:left="760" w:right="20" w:hanging="378"/>
        <w:spacing w:after="0" w:line="252"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any product candidates we may develop or that result in costly litigation or arbitration that diverts management attention and resources;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lose certain valuable rights under certain circumstances, including if we undergo a change of control;</w:t>
      </w:r>
    </w:p>
    <w:p>
      <w:pPr>
        <w:spacing w:after="0" w:line="116" w:lineRule="exact"/>
        <w:rPr>
          <w:rFonts w:ascii="Times New Roman" w:cs="Times New Roman" w:eastAsia="Times New Roman" w:hAnsi="Times New Roman"/>
          <w:sz w:val="18"/>
          <w:szCs w:val="18"/>
          <w:color w:val="auto"/>
        </w:rPr>
      </w:pPr>
    </w:p>
    <w:p>
      <w:pPr>
        <w:ind w:left="760" w:right="340" w:hanging="378"/>
        <w:spacing w:after="0" w:line="270"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we may develop; and</w:t>
      </w:r>
    </w:p>
    <w:p>
      <w:pPr>
        <w:spacing w:after="0" w:line="46"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“Risk Factors” section apply to the activities of our collaborators.</w:t>
      </w:r>
    </w:p>
    <w:p>
      <w:pPr>
        <w:spacing w:after="0" w:line="17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9" w:name="page50"/>
    <w:bookmarkEnd w:id="49"/>
    <w:p>
      <w:pPr>
        <w:ind w:right="280"/>
        <w:spacing w:after="0" w:line="278" w:lineRule="auto"/>
        <w:rPr>
          <w:sz w:val="20"/>
          <w:szCs w:val="20"/>
          <w:color w:val="auto"/>
        </w:rPr>
      </w:pPr>
      <w:r>
        <w:rPr>
          <w:rFonts w:ascii="Arial" w:cs="Arial" w:eastAsia="Arial" w:hAnsi="Arial"/>
          <w:sz w:val="18"/>
          <w:szCs w:val="18"/>
          <w:b w:val="1"/>
          <w:bCs w:val="1"/>
          <w:i w:val="1"/>
          <w:iCs w:val="1"/>
          <w:color w:val="auto"/>
        </w:rPr>
        <w:t>If conflicts arise between us and our potential collaborators, these parties may act in a manner adverse to us and could limit our ability to implement our strategies.</w:t>
      </w:r>
    </w:p>
    <w:p>
      <w:pPr>
        <w:spacing w:after="0" w:line="3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If conflicts arise between us and our potential collaborators, the other party may act in a manner adverse to us and could limit our ability to implement our strategies. Our collaborators may develop, either alone or with others, products in related fields that are competitive with the product candidates we may develop that are the subject of these collaborations with us. Competing products, either developed by the collaborators or to which the collaborators have rights, may result in the withdrawal of support for our product candidates.</w:t>
      </w:r>
    </w:p>
    <w:p>
      <w:pPr>
        <w:spacing w:after="0" w:line="16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Some of our future collaborators could also become our competitors. Our collaborators could develop competing products, preclude us from entering into collaborations with their competitors, fail to obtain timely regulatory approvals, terminate their agreements with us prematurely, fail to devote sufficient resources to the development and commercialization of products, or merge with or be acquired by a third party who may do any of these things. Any of these developments could harm our product development efforts.</w:t>
      </w:r>
    </w:p>
    <w:p>
      <w:pPr>
        <w:spacing w:after="0" w:line="162"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b w:val="1"/>
          <w:bCs w:val="1"/>
          <w:i w:val="1"/>
          <w:iCs w:val="1"/>
          <w:color w:val="auto"/>
        </w:rPr>
        <w:t>If we are not able to establish collaborations on commercially reasonable terms, we may have to alter our development and commercialization plans.</w:t>
      </w:r>
    </w:p>
    <w:p>
      <w:pPr>
        <w:spacing w:after="0" w:line="31"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Our research programs and product candidates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70" w:lineRule="exact"/>
        <w:rPr>
          <w:sz w:val="20"/>
          <w:szCs w:val="20"/>
          <w:color w:val="auto"/>
        </w:rPr>
      </w:pPr>
    </w:p>
    <w:p>
      <w:pPr>
        <w:jc w:val="both"/>
        <w:ind w:right="420"/>
        <w:spacing w:after="0" w:line="271"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own expenditures on the development of the product candidate.</w:t>
      </w:r>
    </w:p>
    <w:p>
      <w:pPr>
        <w:spacing w:after="0" w:line="162"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We are dependent on third-party vendors to provide certain licenses, products and services and our business and operations, including clinical trials, could be disrupted by any problems with our significant third-party vendors.</w:t>
      </w:r>
    </w:p>
    <w:p>
      <w:pPr>
        <w:spacing w:after="0" w:line="3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engage a number of third-party suppliers and service providers to supply critical goods and services, such as contract research services, contract manufacturing services and IT services. Disruptions to the business, financial stability or operations of these suppliers and service providers, including due to strikes, labor disputes or other disruptions to the workforce or to their willingness and ability to produce or deliver such products or provide such services in a manner that satisfies the requirements put forth by the authorities, or in a manner that satisfies our own requirements, could affect our ability to develop and market our future product candidates on a timely basis. If these suppliers and service providers were unable or unwilling to continue to provide their products or services in the manner expected, or at all, we could encounter difficulty finding alternative suppliers. Even if we are able to secure appropriate alternative suppliers in a timely manner, costs for such products or services could increase significantly. Any of these events could adversely affect our results of operations and our business.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06"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us or more successfully than we do.</w:t>
      </w:r>
    </w:p>
    <w:p>
      <w:pPr>
        <w:spacing w:after="0" w:line="3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any product candidates that we may develop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disorders for which we are conducting research and development programs.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our product candidates or that would render any product candidates that we may develop obsolete or non-competitive.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any product candidates we may develop against competitors.</w:t>
      </w:r>
    </w:p>
    <w:p>
      <w:pPr>
        <w:spacing w:after="0" w:line="15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Currently, patients with DMD are treated with corticosteroids to manage the inflammatory component of the disease. EMFLAZA (deflazacort) is an FDA-approved corticosteroid marketed by PTC Therapeutics, Inc. A novel steroid, AGAMREE (vamorolone) has also been approved by the FDA for treatment of DMD in patients 2 years of age and older and is marketed by Catalyst Pharmaceuticals, Inc. Givinostat, a histone deacetylase inhibitor, received FDA approval for treatment of DMD in patients 6 years of age and older and is marketed in the United States by ITF Therapeutics, LLC. In addition, there are four FDA-approved exon skipping drugs: EXONDYS 51 (eteplirsen), VYONDYS 53 (golodirsen) and AMONDYS 45 (casimersen), which are naked phosphorodiamidate morpholino oligomers, or PMOs, approved for the treatment of DMD patients amenable to exon 51, exon 53 and exon 45 skipping, respectively, and are marketed by Sarepta Therapeutics, Inc., or Sarepta, and VILTEPSO (viltolarsen), a naked PMO approved for the treatment of DMD patients amenable to exon 53 skipping, which is marketed by Nippon Shinyaku Co. Ltd. Additionally, there is one FDA-approved gene therapy for patients with a confirmed mutation in the dystrophin gene, ELEVIDYS (delandistrogene moxeparvovec-rokl), which is marketed by Sarepta, and now restricted for use in ambulatory patients only. Companies focused on developing treatments for DMD that target dystrophin mechanisms, as does our DMD program, include Wave Life Sciences Ltd. with WVE-N531, a stereopure oligonucleotide being evaluated in a Phase 2 clinical trial for patients amenable to exon 53 skipping; Entrada Therapeutics, Inc. with ENTR-601-44 and -45, an endosomal escape vehicle technology for the treatment of DMD patients amenable to exon 44 and exon 45 skipping, respectively, currently being evaluated in Phase 1/2 clinical trials (and candidates for exon 50 and 51 planned for clinical trials); BioMarin Pharmaceuticals, Inc. with BMN-351, an antisense oligonucleotide, or ASO, for patients amenable to exon 51 skipping which is being evaluated in a Phase 1/2 clinical trial; SQY Therapeutics SASU with SQY-51, a PMO for patients amenable to exon 51 skipping, which is also being evaluated in a Phase 1/2 clinical trial; and NS Pharma, Inc. with NS-050/NCNP-03 and NS-089/NCNP-02, which are PMOs in Phase 1/2 and Phase 2 clinical trials for exon-50 and exon 44 skipping amenable DMD respectively. Avidity Biosciences, Inc., or Avidity (acquired by Novartis in February 2026), was granted priority review under the accelerated approval pathway by the FDA in September 2026 for its BLA for delpacibart zotadirsen (formerly known as AOC-1044), an antibody oligonucleotide conjugate for patients amenable to exon 44 skipping. In addition, gene therapies to treat DMD are in clinical development, including Solid Biosciences Inc. (SGT-003) and REGENXBIO Inc. (RGX-202), which have both recently reported positive data from their clinical trials as well as an intent to file for approval with the FDA in 2027. Genethon (GNT-0004), and Insmed Inc. (INS1201) are gene therapy programs in Phase 1 development. Capricor Therapeutics’ BLA for its cell therapy deramiocel is currently under FDA review with a PDUFA date of November 22, 2026. Precision Biosciences has initiated a Phase 1/2 trial for its PBGENE-DMD gene editing therapy for patients whose mutations are contained between exons 45-55. Gene editing treatments that are in preclinical development are also being pursued by Vertex and Sarepta. We are also aware of several companies targeting non-dystrophin mechanisms for the treatment of DMD (Satellos with its oral AAK1 inhibitor SAT-3247 in Phase 2 and Edgewise with its oral myosin inhibitor sevasemten currently being developed for Becker, which could also be developed in DMD).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1" w:name="page52"/>
    <w:bookmarkEnd w:id="51"/>
    <w:p>
      <w:pPr>
        <w:ind w:right="40"/>
        <w:spacing w:after="0" w:line="238" w:lineRule="auto"/>
        <w:rPr>
          <w:sz w:val="20"/>
          <w:szCs w:val="20"/>
          <w:color w:val="auto"/>
        </w:rPr>
      </w:pPr>
      <w:r>
        <w:rPr>
          <w:rFonts w:ascii="Arial" w:cs="Arial" w:eastAsia="Arial" w:hAnsi="Arial"/>
          <w:sz w:val="18"/>
          <w:szCs w:val="18"/>
          <w:color w:val="auto"/>
        </w:rPr>
        <w:t>There are currently no approved therapies to treat the underlying cause of DM1. Product candidates currently in clinical development to treat DM1 include: tideglusib, a GSK3-ß inhibitor from AMO Pharma that is set to start a Phase 3 trial in congenital DM1; pitolisant, a selective histamine 3 receptor antagonist / inverse agonist being evaluated in a Phase 2 clinical trial for non-muscular symptoms of DM1 by Harmony Biosciences Holdings, Inc.; delpacibart etedesiran (formerly AOC-1001), an antibody-linked siRNA being evaluated in the Phase 3 HARBOR clinical trial by Avidity (recently acquired by Novartis); PGN-EDODM1, a peptide-linked PMO, currently being evaluated in a Phase 1 clinical trial by Pepgen, Inc.; ARO-DM1, a peptide-linked siRNA being evaluated in a Phase 1/2a clinical trial in Australia and New Zealand by Arrowhead Pharmaceuticals, Inc.; ATX-01, a lipophilic peptide conjugated anti-miR designed to target microRNA 23b currently being evaluated in a Phase 1/2 clinical trial by ARTHEx Biotech S.L.; VX-670, an endosomal escape vehicle technology with a CUG steric blocker oligonucleotide by Entrada Therapeutics, Inc. in collaboration with Vertex being evaluated in a Phase 1/2 clinical trial in Canada, the United Kingdom, the European Union and Australia; SAR446268, an adeno-associated virus, or AAV, -mediated gene therapy currently being evaluated in a Phase 1/2 clinical trial by Sanofi S.A., or Sanofi, in the United States and Argentina; and JUV-161, an AKT-signaling activator currently in a Phase 1 single-ascending dose clinical trial in healthy volunteers by Juvena in Australia. Design Therapeutics also initiated a Phase 1 study of DT-818, a DMPK-targeting small molecule, in January 2026.</w:t>
      </w:r>
    </w:p>
    <w:p>
      <w:pPr>
        <w:spacing w:after="0" w:line="16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There are currently no therapies approved to treat FSHD. Products currently in development for FSHD include: ARO-DUX4, an siRNA therapy being evaluated in a Phase 1/2 clinical trial and licensed by Arrowhead Pharmaceuticals, Inc. to Sarepta; delpacibart braxlosiran (formerly AOC-1020), an antibody oligonucleotide conjugate being evaluated in a Phase 3 clinical trial by Avidity (acquired by Novartis in February 2026). RO7204239, an anti-latent myostatin antibody by Roche Pharmaceuticals, was discontinued in March 2026 after the drug failed to demonstrate a statistically significant benefit over placebo in its Phase 2 clinical trial. Satralizumab, an anti-IL-6 antibody, is being evaluated in a Phase 2 clinical trial by the University Hospital of Nice. EpiCrispr Bio is developing an AAV-delivered CRISPR epigenome modification therapy targeting DUX4 that is currently in Phase 1/2 clinical trials. Scholar Rock Holding Corporation initiated its Phase 2 FORGE study for apitegromab (a mAb targeting latent myostatin) in FSHD in mid-2026. Several other companies have therapies targeting DUX4 in preclinical development (e.g., Facio Biotherapies Pty Ltd, Kate Therapeutics Inc. (acquired by Novartis), Souffle Therapeutics, Inc., or Souffle, Satellos Bioscience Inc., Altay Therapeutics Inc., and Ionis Pharmaceuticals, Inc., or Ionis). Souffle in particular has announced plans to initiate its first-in-human trial for SFL-0821 (muscle-targeted siRNA) before the end of 2026. In addition, there are other modalities in development, such as Restem-L, a cell therapy in Phase 1/2a looking to target immune cell infiltration and inflammation in the skeletal muscle.</w:t>
      </w:r>
    </w:p>
    <w:p>
      <w:pPr>
        <w:spacing w:after="0" w:line="16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There are three currently approved medicines for Pompe disease, all of which are enzyme replacement therapies: Myozyme/Lumizyme (alglucosidase alfa), Nexviazyme/Nexviadyme (avalglucosidase alfa) by Sanofi, and Pombiliti + Opfolda (cipaglucosidase alfa-atga in combination with miglustat) by Amicus Therapeutics, Inc. Beyond these marketed products, the Pompe clinical pipeline consists of several clinical-stage product candidates that aim to address Pompe disease via alternative strategies. ACTUS-101, a gene therapy delivered to the liver for continuous, endogenous production of GAA, is currently being evaluated in a Phase 1 clinical trial by AskBio Inc., or AskBio, which is wholly owned by Bayer AG, and which also has a gene therapy program called AB-1009 that is in a Phase 1/2 clinical trial in the United States for late onset Pompe disease, or LOPD. AT-845 is a muscle-targeted gene therapy currently being evaluated in a Phase 1/2 clinical trial by Astellas Pharma US, Inc. for LOPD. Shionogi announced the first patient was enrolled in its global Phase 2 ESPRIT trial of S-606001 (previously known as MZE-001 from Maze Therapeutics, Inc.), a substrate-reduction therapy, in adults with LOPD, in March 2026. In addition, ABX-1100 by ARO Biotherapeutics Co., is a substrate reduction therapy in Phase 1 clinical trials. Denali Therapeutics, Inc. also initiated a Phase 1 trial for its enzyme replacement therapy in May 2026. Lastly, GeneCradle Inc. has an ongoing Phase 1/2 trial for its gene therapy in China that is expected to conclude by the end of 2026.</w:t>
      </w:r>
    </w:p>
    <w:p>
      <w:pPr>
        <w:spacing w:after="0" w:line="169"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We also expect to compete more generally with other companies developing alternative scientific and technological approaches to the treatment of muscle diseases, including other companies working to develop conjugates with oligonucleotides for extra-hepatic delivery, including Alnylam Pharmaceuticals, Inc., Aro Biotherapeutics, Inc., Arrowhead Pharmaceuticals, Inc., Avidity, Novo Nordisk A/S, DTx Pharma, Inc., Gennao Bio, Inc., Ionis and Sarepta, as well as gene therapy and gene editing approaches.</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Many of the companies against which we compete or against which we may compete in the future have significantly greater financial resources and expertise in research and development, manufacturing, preclinical testing, conducting clinical trials, obtaining regulatory approvals and marketing approved products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2" w:name="page53"/>
    <w:bookmarkEnd w:id="52"/>
    <w:p>
      <w:pPr>
        <w:ind w:right="40"/>
        <w:spacing w:after="0" w:line="244" w:lineRule="auto"/>
        <w:rPr>
          <w:sz w:val="20"/>
          <w:szCs w:val="20"/>
          <w:color w:val="auto"/>
        </w:rPr>
      </w:pPr>
      <w:r>
        <w:rPr>
          <w:rFonts w:ascii="Arial" w:cs="Arial" w:eastAsia="Arial" w:hAnsi="Arial"/>
          <w:sz w:val="18"/>
          <w:szCs w:val="18"/>
          <w:color w:val="auto"/>
        </w:rPr>
        <w:t>Additionally,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6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or our FORCE platform,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72"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Even if any product candidate that we may develop receives marketing approval, it may fail to achieve the degree of market acceptance by physicians, patients, third-party payers and others in the medical community necessary for commercial success.</w:t>
      </w:r>
    </w:p>
    <w:p>
      <w:pPr>
        <w:spacing w:after="0" w:line="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any product candidate we may develop receives marketing approval, it may nonetheless fail to gain sufficient market acceptance by physicians, patients, third-party payers and others in the medical community. Sales of medical products depend in part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cost-effective as compared with competing treatments. Efforts to educate the medical community and third-party payers on the benefits of any product candidates we may develop may require significant resources and may not be successful. If any product candidates we may develop do not achieve an adequate level of acceptance, we may not generate significant product revenues and we may not become profitable. The degree of market acceptance of any product candidates we may develop, if approved for commercial sale, will depend on a number of factors, including:</w:t>
      </w:r>
    </w:p>
    <w:p>
      <w:pPr>
        <w:spacing w:after="0" w:line="78"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advantages and limitations compared to alternative treatments;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sales and marketing efforts;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the product is approved;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competitive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third-party coverage and adequate reimbursement;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13"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b w:val="1"/>
          <w:bCs w:val="1"/>
          <w:i w:val="1"/>
          <w:iCs w:val="1"/>
          <w:color w:val="auto"/>
        </w:rPr>
        <w:t>If the market opportunities for any product candidates we develop are smaller than we believe they are, our revenue may be adversely affected, and our business may suffer. Because the target patient populations of our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53" w:name="page54"/>
    <w:bookmarkEnd w:id="53"/>
    <w:p>
      <w:pPr>
        <w:ind w:right="340"/>
        <w:spacing w:after="0" w:line="278" w:lineRule="auto"/>
        <w:rPr>
          <w:sz w:val="20"/>
          <w:szCs w:val="20"/>
          <w:color w:val="auto"/>
        </w:rPr>
      </w:pPr>
      <w:r>
        <w:rPr>
          <w:rFonts w:ascii="Arial" w:cs="Arial" w:eastAsia="Arial" w:hAnsi="Arial"/>
          <w:sz w:val="18"/>
          <w:szCs w:val="18"/>
          <w:b w:val="1"/>
          <w:bCs w:val="1"/>
          <w:i w:val="1"/>
          <w:iCs w:val="1"/>
          <w:color w:val="auto"/>
        </w:rPr>
        <w:t>programs are small, and the addressable patient population even smaller, we must be able to successfully identify patients and capture a significant market share to achieve profitability and growth.</w:t>
      </w:r>
    </w:p>
    <w:p>
      <w:pPr>
        <w:spacing w:after="0" w:line="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any product candidates we may develop,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6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Our target patient populations are relatively small, and there is currently no standard of care treatment directed at some of our target indications, such as FSHD. As a result, the pricing and reimbursement of any product candidates we may develop, if approved, is uncertain, but must be adequate to support commercial infrastructure. If we are unable to obtain adequate levels of reimbursement, our ability to successfully market and sell product candidates will be adversely affected.</w:t>
      </w:r>
    </w:p>
    <w:p>
      <w:pPr>
        <w:spacing w:after="0" w:line="16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The pricing, insurance coverage and reimbursement status of newly approved products is uncertain. Failure to obtain or maintain adequate coverage and reimbursement for our future product candidates, if approved, could limit our ability to market those products and decrease our ability to generate product revenue.</w:t>
      </w:r>
    </w:p>
    <w:p>
      <w:pPr>
        <w:spacing w:after="0" w:line="5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initial target platforms in our pipeline are indications with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 If we are unable to establish or sustain coverage and adequate reimbursement for any future product candidates from third-party payers, the adoption of those product candidates and sales revenue will be adversely affected, which, in turn, could adversely affect the ability to market or sell those product candidates, if approved.</w:t>
      </w:r>
    </w:p>
    <w:p>
      <w:pPr>
        <w:spacing w:after="0" w:line="16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expect that coverage and reimbursement by third-party payers will be essential for most patients to be able to afford these treatments. Accordingly, sales of our future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authorities, private health coverage insurers and other third-party payers. Even if coverage is provided, the approved reimbursement amount may not be high enough to allow us to establish or maintain pricing sufficient to realize a sufficient return on our investment.</w:t>
      </w:r>
    </w:p>
    <w:p>
      <w:pPr>
        <w:spacing w:after="0" w:line="16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by government authorities for new products are typically made by the Centers for Medicare &amp; Medicaid Services, or CMS, since CMS decides whether and to what extent a new product will be covered and reimbursed under Medicare. Private payers tend to follow CMS to a substantial degree. However, one payer’s determination to provide coverage for a product does not assure that other payers will also provide coverage for the drug product. Further, a payer’s decision to provide coverage for a drug product does not imply that an adequate reimbursement rate will be approved. Reimbursement agencies in the European Union may be more conservative than CMS.</w:t>
      </w:r>
    </w:p>
    <w:p>
      <w:pPr>
        <w:spacing w:after="0" w:line="17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any product candidates we may develop.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54" w:name="page55"/>
    <w:bookmarkEnd w:id="54"/>
    <w:p>
      <w:pPr>
        <w:ind w:right="100"/>
        <w:spacing w:after="0"/>
        <w:rPr>
          <w:sz w:val="20"/>
          <w:szCs w:val="20"/>
          <w:color w:val="auto"/>
        </w:rPr>
      </w:pPr>
      <w:r>
        <w:rPr>
          <w:rFonts w:ascii="Arial" w:cs="Arial" w:eastAsia="Arial" w:hAnsi="Arial"/>
          <w:sz w:val="18"/>
          <w:szCs w:val="18"/>
          <w:color w:val="auto"/>
        </w:rPr>
        <w:t>product. As a result, we might obtain marketing approval for a product in a particular country, but then be subject to price regulations that delay or might even prevent our commercial launch of the product, possibly for lengthy periods of time.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product candidates. Accordingly, in markets outside the United States, the reimbursement for any product candidates we may develop may be reduced compared with the United States and may be insufficient to generate commercially reasonable revenues and profits.</w:t>
      </w:r>
    </w:p>
    <w:p>
      <w:pPr>
        <w:spacing w:after="0" w:line="16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Moreover, increasing efforts by governmental and third-party payers, in the United States and internationally, to cap or reduce healthcare costs may cause such organizations to limit both coverage and level of reimbursement for new products approved and, as a result, they may not cover or provide adequate payment for any product candidates we may develop. We expect to experience pricing pressures in connection with the sale of any product candidates we may develop due to the trend toward managed healthcare, the increasing influence of certain third-party payers,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There have been instances in which third-party payers have refused to reimburse treatments for patients for whom the treatment is indicated in the FDA-approved product label. Even if we are successful in obtaining FDA approvals to commercialize our product candidates, we cannot guarantee that we will be able to secure reimbursement for all patients for whom treatment with our product candidates is indicated.</w:t>
      </w:r>
    </w:p>
    <w:p>
      <w:pPr>
        <w:spacing w:after="0" w:line="1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to CMS and private payers, professional organizations such as the American Medical Association can influence decisions about reimbursement for new products by determining standards for care. In addition, many private payers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 Even if favorable coverage and reimbursement status is attained for one or more product candidates for which we or our collaborators receive regulatory approval, less favorable coverage policies and reimbursement rates may be implemented in the future.</w:t>
      </w:r>
    </w:p>
    <w:p>
      <w:pPr>
        <w:spacing w:after="0" w:line="16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any product candidates we may develop if and when they are approved.</w:t>
      </w:r>
    </w:p>
    <w:p>
      <w:pPr>
        <w:spacing w:after="0" w:line="51"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the future, we may build a sales and marketing infrastructure to market some of the product candidates we develop or may develop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04" w:lineRule="exact"/>
        <w:rPr>
          <w:sz w:val="20"/>
          <w:szCs w:val="20"/>
          <w:color w:val="auto"/>
        </w:rPr>
      </w:pPr>
    </w:p>
    <w:p>
      <w:pPr>
        <w:ind w:left="760" w:right="54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of sales personnel to educate adequate numbers of physicians on the benefits of any future products;</w:t>
      </w:r>
    </w:p>
    <w:p>
      <w:pPr>
        <w:spacing w:after="0" w:line="116"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payers;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5" w:name="page56"/>
    <w:bookmarkEnd w:id="55"/>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6" w:lineRule="exact"/>
        <w:rPr>
          <w:rFonts w:ascii="Times New Roman" w:cs="Times New Roman" w:eastAsia="Times New Roman" w:hAnsi="Times New Roman"/>
          <w:sz w:val="18"/>
          <w:szCs w:val="18"/>
          <w:color w:val="auto"/>
        </w:rPr>
      </w:pPr>
    </w:p>
    <w:p>
      <w:pPr>
        <w:ind w:left="760" w:right="260" w:hanging="378"/>
        <w:spacing w:after="0" w:line="270" w:lineRule="auto"/>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any product candidates we may develop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any product candidates we may develop.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biologic product candidates for which we intend to seek approval may face competition sooner than anticipated.</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Amendment, or the ACA, includes a subtitle called the Biologics Price Competition and Innovation Act of 2009, or BPCIA, which created an abbreviated approval pathway for biological products that are biosimilar to or interchangeable with an FDA-licensed reference biological product. In December 2022, Congress clarified through FDORA that the FDA may approve multiple first interchangeable biosimilar biological products so long as the products are all approved on the first day on which such a product is approved as interchangeable with the reference product.</w:t>
      </w:r>
    </w:p>
    <w:p>
      <w:pPr>
        <w:spacing w:after="0" w:line="16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There is a risk that any product candidates we may develop that are approved as a biological product under a BLA would not qualify for the 12-year period of exclusivity or that this exclusivity could be shortened due to U.S. congressional action or otherwise, or that the FDA will not consider any product candidates we may develop to be reference products for competing products, potentially creating the opportunity for generic competition sooner than anticipated. Further, the FDA may revise the standards governing approval of biosimilars so as to bring such products to the market more quickly. For example,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 In March 2026, the FDA issued another draft guidance with additional recommendations that soften the requirements for licensure of biosimilars.</w:t>
      </w:r>
    </w:p>
    <w:p>
      <w:pPr>
        <w:spacing w:after="0" w:line="16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6"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auto"/>
        </w:rPr>
        <w:t>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any product candidates we may develop or our technology may be adversely affected due to such competition.</w:t>
      </w:r>
    </w:p>
    <w:p>
      <w:pPr>
        <w:spacing w:after="0" w:line="6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success depends in large part on our and our licensors’ ability to obtain and maintain patent and other intellectual property protection in the United States and other jurisdictions. We currently own and license patents and patent applications relating to our FORCE platform technology, including our Fabs, payloads and Fab-payload conjugates, as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ind w:right="20"/>
        <w:spacing w:after="0" w:line="239" w:lineRule="auto"/>
        <w:rPr>
          <w:sz w:val="20"/>
          <w:szCs w:val="20"/>
          <w:color w:val="auto"/>
        </w:rPr>
      </w:pPr>
      <w:r>
        <w:rPr>
          <w:rFonts w:ascii="Arial" w:cs="Arial" w:eastAsia="Arial" w:hAnsi="Arial"/>
          <w:sz w:val="18"/>
          <w:szCs w:val="18"/>
          <w:color w:val="auto"/>
        </w:rPr>
        <w:t>well as aspects of our manufacturing and methods of treatment. We and our licensors have sought, and will seek, to protect our proprietary position by filing additional patent applications in the United States and abroad related to certain technologies and our platform that are important to our business. However, while much of our patent portfolio is at an early stage, we own 61 issued U.S. patents and 49 granted foreign patents, and exclusively license three issued U.S. patents and one issued European patent. Moreover, there can be no assurance as to whether or when our patent applications will issue as granted patents. Our ability to stop third parties from making, using, selling, marketing, offering to sell, importing and commercializing any product candidates we may develop, and our technology is dependent upon the extent to which we have rights under valid and enforceable patents and other intellectual property that cover our platform and technology. If we are unable to secure, maintain, defend and enforce patents and other intellectual property with respect to any product candidates we may develop and technology, it would have a material adverse effect on our business, financial condition, results of operations and prospects.</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pending Patent Cooperation Treaty, or PCT, patent applications are not eligible to become issued patents until, among other things, we file a national stage patent application within 30 to 32 months, depending on the jurisdiction, from such application’s priority date in the jurisdictions in which we are seeking patent protection. Similarly, our pending provisional patent applications are not eligible to become issued patents until, among other things, we file a non-provisional patent application within 12 months of such provisional patent application’s filing date. If we do not timely file such national stage patent applications or non-provisional patent applications, we may lose our priority date with respect to such PCT or provisional patent applications, respectively, and any patent protection on the inventions disclosed in such PCT or provisional patent applications, respectively. While we and our licensors intend to timely file selected national stage and non-provisional patent applications relating to our PCT and provisional patent applications, respectively, we cannot predict whether any such patent applications will result in the issuance of patents. If we or our licensors do not successfully obtain issued patents, or, if the scope of any patent protection we or our licensors obtain is not sufficiently broad, we will be unable to prevent others from using any product candidates we may develop or our technology or from developing or commercializing technology and products similar or identical to ours or other competing products and technologies. Any failure to obtain or maintain patent protection with respect to our product candidates or our FORCE platform would have a material adverse effect on our business, financial condition, results of operations and prospects.</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patent prosecution process is expensive, time-consuming and complex, and we and our licensors may not be able to file, prosecute, maintain, defend, enforce or license all necessary or desirable patent applications at a reasonable cost or in a timely manner. We and our licensors may not be able to obtain, maintain or defend patents and patent applications due to the subject matter claimed in such patents and patent applications being in the public domain.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Consequently, we would not be able to prevent any third party from using any of our technology that is in the public domain to compete with any product candidates we may develop.</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patent rights are highly uncertain. Our pending and future owned and licensed patent applications may not result in patents being issued which protect our technology or product candidates, effectively prevent others from commercializing competitive technologies and product or otherwise provide any competitive advantage. In fact, patent applications may not issue as patents at all, and even if such patent applications do issue as patents, they may not issue in a form, or with a scope of claims, that will provide us with any meaningful protection, prevent others from competing with us or otherwise provide us with any competitive advantage. In addition, the scope of claims of an issued patent can be reinterpreted after issuance, and changes in either the patent laws or interpretation of the patent laws in the United States and other jurisdictions may diminish the value of our patent rights or narrow the scope of our patent protection. Furthermore, our competitors or other third parties may be able to circumvent our patents by developing similar or alternative technologies or products in a non-infringing manner.</w:t>
      </w:r>
    </w:p>
    <w:p>
      <w:pPr>
        <w:spacing w:after="0" w:line="17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Third parties have developed technologies that may be related or competitive to our own technologies and product candidates and may have filed or may file patent applications, or may have obtained issued patents, claiming inventions that may overlap or conflict with those claimed in our owned or licensed patent applications or issued patents. We may not be aware of all third-party intellectual property rights potentially relating to our current and future product candidates and technology. Publications of discoveries in the scientific literature often lag the actual discoveries, and patent applications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right="100"/>
        <w:spacing w:after="0" w:line="242" w:lineRule="auto"/>
        <w:rPr>
          <w:sz w:val="20"/>
          <w:szCs w:val="20"/>
          <w:color w:val="auto"/>
        </w:rPr>
      </w:pPr>
      <w:r>
        <w:rPr>
          <w:rFonts w:ascii="Arial" w:cs="Arial" w:eastAsia="Arial" w:hAnsi="Arial"/>
          <w:sz w:val="18"/>
          <w:szCs w:val="18"/>
          <w:color w:val="auto"/>
        </w:rPr>
        <w:t>in the United States and other jurisdictions are typically not published until 18 months after filing or, in some cases, not at all. Therefore, we cannot know for certain whether the inventors of our owned or licensed patents and patent applications were the first to make the inventions claimed in any owned or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ruled unenforceable.</w:t>
      </w:r>
    </w:p>
    <w:p>
      <w:pPr>
        <w:spacing w:after="0" w:line="16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owned and licensed patents may be challenged in the courts or patent offices in the United States and other jurisdictions. For example, we may be subject to a third-party submission of prior art to the United States Patent and Trademark Office, or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or interference proceedings and similar proceedings in foreign jurisdictions (for example, opposition proceedings) challenging our owned or licensed patent rights. In addition, a third party may claim that our owned or licensed patent rights are invalid or unenforceable in a litigation. An adverse result in any litigation or patent office proceeding could put one or more of our owned or licensed patents at risk of being invalidated, ruled unenforceable or interpreted narrowly and could allow third parties to commercialize products identical or similar to any product candidates we may develop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and proceedings may result in loss of patent rights, exclusivity or in patent claims being narrowed, invalidated or held unenforceable, which could limit our ability to stop others from using or commercializing similar or identical technology and products, or limit the duration of the patent protection of our technology and any product candidates we may develop. Such challenges and proceedings may also result in substantial cost and require significant time from our scientists and management, even if the eventual outcome is favorable to us. Moreover, there could be public announcements of the results of hearings, motions or other interim proceedings or developments related to such challenges and proceedings. If securities analysts or investors perceive these results to be negative, it could have a substantial adverse effect on the price of our common stock.</w:t>
      </w:r>
    </w:p>
    <w:p>
      <w:pPr>
        <w:spacing w:after="0" w:line="166"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Furthermore, patents have a limited lifespan. In the United States, the expiration of a patent is generally 20 years from the earliest date of filing of the first non-provisional patent application to which the patent claims priority. Patent term adjustments and extensions may be available; however, the overall term of a patent, and the protection it affords, is limited. Given the amount of time required for the development, testing and regulatory review of new product candidates, patents protecting such product candidates might expire before or shortly after such product candidates are commercialized. As a result, our owned and licensed patent and other intellectual property rights may not provide us with sufficient rights to exclude others from commercializing products similar or identical to our technology and any product candidates we may develop. Any of the foregoing could have a material adverse effect on our competitive position, business, financial condition, results of operations and prospects.</w:t>
      </w:r>
    </w:p>
    <w:p>
      <w:pPr>
        <w:spacing w:after="0" w:line="169"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Our rights to develop and commercialize any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57"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We are and expect to continue to be reliant upon third-party licensors for certain patent and other intellectual property rights that are important or necessary to the development of our technology and product candidates. For example, we are party to a license from the UMONS to certain patent rights and know-how of UMONS. Our license agreement with UMONS imposes, and we expect that future license agreements that we may enter into may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165"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our license agreements are terminated, we may lose our rights to develop and commercialize product candidates and technology, lose patent protection, experience significant</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8" w:name="page59"/>
    <w:bookmarkEnd w:id="58"/>
    <w:p>
      <w:pPr>
        <w:spacing w:after="0" w:line="239" w:lineRule="auto"/>
        <w:rPr>
          <w:sz w:val="20"/>
          <w:szCs w:val="20"/>
          <w:color w:val="auto"/>
        </w:rPr>
      </w:pPr>
      <w:r>
        <w:rPr>
          <w:rFonts w:ascii="Arial" w:cs="Arial" w:eastAsia="Arial" w:hAnsi="Arial"/>
          <w:sz w:val="18"/>
          <w:szCs w:val="18"/>
          <w:color w:val="auto"/>
        </w:rPr>
        <w:t>delays in the development and commercialization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 Disputes may arise regarding intellectual property subject to a licensing agreement, including:</w:t>
      </w:r>
    </w:p>
    <w:p>
      <w:pPr>
        <w:spacing w:after="0" w:line="7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760" w:right="360" w:hanging="378"/>
        <w:spacing w:after="0" w:line="270" w:lineRule="auto"/>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or our licensors’ ability to obtain, maintain and defend intellectual property and to enforce intellectual property rights against third parties;</w:t>
      </w:r>
    </w:p>
    <w:p>
      <w:pPr>
        <w:spacing w:after="0" w:line="46" w:lineRule="exact"/>
        <w:rPr>
          <w:rFonts w:ascii="Times New Roman" w:cs="Times New Roman" w:eastAsia="Times New Roman" w:hAnsi="Times New Roman"/>
          <w:sz w:val="18"/>
          <w:szCs w:val="18"/>
          <w:color w:val="auto"/>
        </w:rPr>
      </w:pPr>
    </w:p>
    <w:p>
      <w:pPr>
        <w:ind w:left="760" w:right="160" w:hanging="378"/>
        <w:spacing w:after="0" w:line="270" w:lineRule="auto"/>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our technology, product candidates and processes infringe, misappropriate or otherwise violate the intellectual property of the licensor that is not subject to the license agreement;</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sublicensing of patent and other intellectual property rights under our license agreements;</w:t>
      </w:r>
    </w:p>
    <w:p>
      <w:pPr>
        <w:spacing w:after="0" w:line="116" w:lineRule="exact"/>
        <w:rPr>
          <w:rFonts w:ascii="Times New Roman" w:cs="Times New Roman" w:eastAsia="Times New Roman" w:hAnsi="Times New Roman"/>
          <w:sz w:val="18"/>
          <w:szCs w:val="18"/>
          <w:color w:val="auto"/>
        </w:rPr>
      </w:pPr>
    </w:p>
    <w:p>
      <w:pPr>
        <w:ind w:left="760" w:right="420" w:hanging="378"/>
        <w:spacing w:after="0" w:line="270" w:lineRule="auto"/>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development, regulatory, commercialization, financial or other obligations under the license agreement and what activities satisfy those diligence obligations;</w:t>
      </w:r>
    </w:p>
    <w:p>
      <w:pPr>
        <w:spacing w:after="0" w:line="46" w:lineRule="exact"/>
        <w:rPr>
          <w:rFonts w:ascii="Times New Roman" w:cs="Times New Roman" w:eastAsia="Times New Roman" w:hAnsi="Times New Roman"/>
          <w:sz w:val="18"/>
          <w:szCs w:val="18"/>
          <w:color w:val="auto"/>
        </w:rPr>
      </w:pPr>
    </w:p>
    <w:p>
      <w:pPr>
        <w:ind w:left="760" w:right="280" w:hanging="378"/>
        <w:spacing w:after="0" w:line="270" w:lineRule="auto"/>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current or future licensors and us and our partners; and</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1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license agreements we have entered into are, and any license agreements we may enter into in the future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16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Certain license agreements we have entered into are, and 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16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Moreover, some of our in-licensed patent and other intellectual property rights may in the future be subject to third 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16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9" w:name="page60"/>
    <w:bookmarkEnd w:id="59"/>
    <w:p>
      <w:pPr>
        <w:ind w:right="60"/>
        <w:spacing w:after="0" w:line="247" w:lineRule="auto"/>
        <w:rPr>
          <w:sz w:val="20"/>
          <w:szCs w:val="20"/>
          <w:color w:val="auto"/>
        </w:rPr>
      </w:pPr>
      <w:r>
        <w:rPr>
          <w:rFonts w:ascii="Arial" w:cs="Arial" w:eastAsia="Arial" w:hAnsi="Arial"/>
          <w:sz w:val="18"/>
          <w:szCs w:val="18"/>
          <w:color w:val="auto"/>
        </w:rPr>
        <w:t>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16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 In addition, the U.S. government may have certain rights in such patent rights,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which may include our confidential information, to third parties and to exercise march-in rights to use or allow third parties to use the technology that was developed using U.S. government funding. The U.S. government may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U.S. government-funded inventions may be subject to certain requirements to manufacture any product candidates we may develop embodying such inventions in the United States. Any of the foregoing could harm our business, financial condition, results of operations and prospects significantly.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Filing, prosecuting, maintaining, enforcing and defending patents and other intellectual property rights on our technology and any product candidates we may develop in all jurisdictions throughout the world would be prohibitively expensive, and accordingly, our intellectual property rights in some jurisdictions outside the United States could be less extensive than those in the United States. In some cases, we or our licensors may not be able to obtain patent or other intellectual property protection for certain technology and product candidates outside the United States. In addition, the laws of some foreign jurisdictions do not protect intellectual property rights to the same extent as federal and state laws in the United States. Consequently, we and our licensors may not be able to obtain issued patents or other intellectual property rights covering any product candidates we may develop and our technology in all jurisdictions outside the United States and, as a result, may not be able to prevent third parties from practicing our and our licensors’ inventions in all countries outside the United States, or from selling or importing products made using our inventions in and into the United States or other jurisdictions. Third parties may use our technologies in jurisdictions where we and our licensors have not pursued and obtained patent or other intellectual property protection to develop their own products and, further, may export otherwise infringing, misappropriating or violating products to territories where we have patent or other intellectual property protection, but enforcement is not as strong as that in the United States. These products may compete with any product candidates we may develop and our technology and our or our licensors’ patents or other intellectual property rights may not be effective or sufficient to prevent them from competing.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0" w:name="page61"/>
    <w:bookmarkEnd w:id="60"/>
    <w:p>
      <w:pPr>
        <w:ind w:right="20"/>
        <w:spacing w:after="0" w:line="238" w:lineRule="auto"/>
        <w:rPr>
          <w:sz w:val="20"/>
          <w:szCs w:val="20"/>
          <w:color w:val="auto"/>
        </w:rPr>
      </w:pPr>
      <w:r>
        <w:rPr>
          <w:rFonts w:ascii="Arial" w:cs="Arial" w:eastAsia="Arial" w:hAnsi="Arial"/>
          <w:sz w:val="18"/>
          <w:szCs w:val="18"/>
          <w:color w:val="auto"/>
        </w:rPr>
        <w:t>Additionally, many companies have encountered significant problems in protecting and defending intellectual property rights in foreign jurisdictions. The legal systems of certain jurisdictions,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 and other intellectual property rights or marketing of competing products in violation of our intellectual property rights generally. For example, an April 2019 report from the Office of the United States Trade Representative identified a number of countries, including China, Russia, Argentina, Chile and India, where challenges to the procurement and enforcement of patent rights have been reported. Proceedings to enforce our or our licensors’ patent and other intellectual property rights in foreign jurisdictions could result in substantial costs and divert our efforts and attention from other aspects of our business, could put our patent and other intellectual property rights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another example, the complexity and uncertainty of European patent laws have also increased in recent years. In Europe, a new unitary patent system went into effect on June 1, 2023, which significantly impacts European patents, including those granted before the introduction of such system. Under the unitary patent system, European applications have the option, upon grant of a patent, of becoming a Unitary Patent which will be subject to the jurisdiction of the Unitary Patent Court (UPC). Existing European patents and published applications may be opted out of the jurisdiction of the UPC at any time before the end of a transitional period (at least seven years from the UPC Agreement which went into effect on June 1, 2023), unless an action has already been brought before the UPC in which case an opt-out request cannot be filed.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7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65"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5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and/or patent applications will be due to be paid to the USPTO and various government patent agencies outside of the United States over the lifetime of our owned or licensed patent rights. We rely on our outside counsel and other professionals or our licensing partners to pay these fees due to the USPTO and non-U.S. government patent agencies. The USPTO and various non-U.S. government patent agencies also require compliance with several procedural, documentary and other similar provisions during the patent application process. We rely on our outside counsel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loss of priority or lapse of the patent or patent application, resulting in partial or complete loss of patent rights in the relevant jurisdiction. In such an event, potential competitors might be able to enter the market and this circumstance could have a material adverse effect on our competitive position, business, financial condition, results of operations and prospects.</w:t>
      </w:r>
    </w:p>
    <w:p>
      <w:pPr>
        <w:spacing w:after="0" w:line="174"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necessary rights to product candidates we may develop through acquisitions and in-licenses.</w:t>
      </w:r>
    </w:p>
    <w:p>
      <w:pPr>
        <w:spacing w:after="0" w:line="31"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We currently have rights to certain intellectual property through licenses from third parties. Because our product candidates may require the use of additional intellectual property rights held by third parties, the growth of our business likely will depend in part on our ability to acquire, in-license or use these intellectual property rights. In addition, with</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1" w:name="page62"/>
    <w:bookmarkEnd w:id="61"/>
    <w:p>
      <w:pPr>
        <w:ind w:right="40"/>
        <w:spacing w:after="0" w:line="238" w:lineRule="auto"/>
        <w:rPr>
          <w:sz w:val="20"/>
          <w:szCs w:val="20"/>
          <w:color w:val="auto"/>
        </w:rPr>
      </w:pPr>
      <w:r>
        <w:rPr>
          <w:rFonts w:ascii="Arial" w:cs="Arial" w:eastAsia="Arial" w:hAnsi="Arial"/>
          <w:sz w:val="18"/>
          <w:szCs w:val="18"/>
          <w:color w:val="auto"/>
        </w:rPr>
        <w:t>respect to any patent or other intellectual property rights that we co-own with third parties, we may require exclusive licenses to such co-owners’ interest in such patent or other intellectual property rights. However, we may be unable to secure such licenses or otherwise acquire or in-license any intellectual property rights related to compositions, methods of use, processes or other components from third parties that we identify as necessary for any product candidates we may develop and our technology on commercially reasonable terms, or at all. Even if we are able to in-license any such necessary intellectual property, it could be on non-exclusive terms, thereby giving our competitors and other third parties access to the same intellectual property licensed to us, and the applicable licensors could require us to make substantial licensing and royalty payments.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6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sometimes collaborate with non-profit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third parties, potentially blocking our ability to pursue our research program and develop and commercialize our product candidates.</w:t>
      </w:r>
    </w:p>
    <w:p>
      <w:pPr>
        <w:spacing w:after="0" w:line="16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licensed, we may be required to expend significant time and resources to redesign any product candidates we may develop or the methods for manufacturing them or to develop or license replacement technology, all of which may not be feasible on a technical or commercial basis. If we are unable to do so, we may be unable to develop or commercialize the affected product candidates, which could have a material adverse effect on our business, financial condition, results of operations and prospects.</w:t>
      </w:r>
    </w:p>
    <w:p>
      <w:pPr>
        <w:spacing w:after="0" w:line="16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Issued patents covering any product candidates we may develop could be found invalid or unenforceable if challenged in court or before administrative bodies in the United States or abroad.</w:t>
      </w:r>
    </w:p>
    <w:p>
      <w:pPr>
        <w:spacing w:after="0" w:line="3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owned and licensed patent rights may be subject to priority, validity, inventorship and enforceability disputes. If we or our licensors are unsuccessful in any of these proceedings, such patent rights may be narrowed, invalidated or held unenforceable, we may be required to obtain licenses from third parties, which may not be available on commercially reasonable terms or at all, or we may be required to cease the development, manufacture and commercialization of one or more of our product candidates. Any of the foregoing could have a material adverse effect on our business, financial condition, results of operations and prospects.</w:t>
      </w:r>
    </w:p>
    <w:p>
      <w:pPr>
        <w:spacing w:after="0" w:line="16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If we or one of our licensors initiate legal proceedings against a third party to enforce a patent covering any of the product candidates we may develop or our technology, the defendant could counterclaim that the patent covering the product candidate or technology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interference proceedings, derivation proceedings, post grant review,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and equivalent proceedings such as opposition, invalidation and revocation proceedings in foreign jurisdictions. Such</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could result in the revocation or cancellation of or amendment to our patents in such a way that they no longer cover any product candidates we may develop or our technology or prevent third parties from competing with any product candidates we may develop or our technology.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one or more of our product candidates or technology. Such a loss of patent protection could have a material adverse effect on our business, financial condition, results of operations and prospects.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contractors and other parties who have access to such technology and processes. However,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In such circumstances, third parties could potentially use our trade secrets to compete with any product candidates we may develop and our technology. Additionally, we cannot guarantee that we have entered into such agreements with each party that may have or has had access to our trade secrets or proprietary technology and processes.</w:t>
      </w:r>
    </w:p>
    <w:p>
      <w:pPr>
        <w:spacing w:after="0" w:line="16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15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our trade secrets may otherwise become known or be independently discovered by competitors or other third parties. Competitors or third parties could purchase any product candidates we may develop or our technology and attempt to replicate some or all of the competitive advantages we derive from our development efforts, willfully infringe our intellectual property rights, design around our intellectual property rights or develop their own competitive technologies that fall outside the scope of our intellectual property rights. If any of our trade secrets were to be lawfully obtained or independently developed by a competitor or other third party, we would have no right to prevent them, or those to whom they communicate such trade secrets, from using that technology or information to compete with us. If our trade secrets are not adequately protected so as to protect our market against competitors’ products, our business, financial condition, results of operations and prospects could be materially and adversely affected.</w:t>
      </w:r>
    </w:p>
    <w:p>
      <w:pPr>
        <w:spacing w:after="0" w:line="16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harm our business.</w:t>
      </w:r>
    </w:p>
    <w:p>
      <w:pPr>
        <w:spacing w:after="0" w:line="3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misappropriating or otherwise violating the intellectual property rights of third parties. The biotechnology and pharmaceutical industries are characterized by extensive and complex litigation regarding patents and other intellectual property rights. We may become party to, or be threatened with, adversarial proceedings or litigation in which third parties may assert infringement, misappropriation or other violation claims against us, alleging that any product candidates we may develop, manufacturing methods, formulations or administration methods are covered by their patents. Given the vast number of patents and other intellectual property in our field of technology, we cannot be certain or guarantee that we do not infringe, misappropriate or otherwise violate patents or other intellectual property. Other companies and institutions have filed, and continue to file, patent applications that may be related to our technology and, more broadly,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If a patent holder believes the manufacture, use, sale or importation of any product candidates we may develop or our technology infringes its patent, the patent holder may sue us even if we have licensed other patent rights for our technology.</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are aware of certain patents in the United States and other jurisdictions owned by third parties that claim subject matter that relates to our program candidates and the FORCE platform. Although we believe that these patents are invalid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63" w:name="page64"/>
    <w:bookmarkEnd w:id="63"/>
    <w:p>
      <w:pPr>
        <w:ind w:right="60"/>
        <w:spacing w:after="0" w:line="242" w:lineRule="auto"/>
        <w:rPr>
          <w:sz w:val="20"/>
          <w:szCs w:val="20"/>
          <w:color w:val="auto"/>
        </w:rPr>
      </w:pPr>
      <w:r>
        <w:rPr>
          <w:rFonts w:ascii="Arial" w:cs="Arial" w:eastAsia="Arial" w:hAnsi="Arial"/>
          <w:sz w:val="18"/>
          <w:szCs w:val="18"/>
          <w:color w:val="auto"/>
        </w:rPr>
        <w:t>and/or not infringed, such third parties may assert these patents against us in litigation in the United States or other jurisdictions. The outcome of any such litigation is uncertain and, even if we prevail, the costs of such litigation could have a material adverse effect on our financial position, result in disclosure of our trade secrets, distract key personnel from the continued development of our business, and adversely affect our ability to enter or maintain commercial relationships with collaborators, clients or customers. If we are unsuccessful in such litigation, we could be prevented from commercializing products or could be required to take licenses from such third parties which may not be available on commercially reasonable terms, if at all.</w:t>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It is also possible that we have failed to identify relevant third-party patents or applications. Because patent applications can take many years to issue, may be confidential for 18 months or more after filing and can be revised before issuance, there may be applications now pending which may later result in issued patents that may be infringed by the manufacture, use, sale or importation of any product candidates we may develop or our technology and we may not be aware of such patents. Furthermore, applications filed before November 29, 2000 and certain applications filed after that date that will not be filed outside the United States may remain confidential until a patent issues. Moreover, it is difficult for industry participants, including us, to identify all third-party patent rights that may be relevant to any product candidates we may develop and our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technologies, any product candidates we may develop or the use of any product candidates we may develop.</w:t>
      </w:r>
    </w:p>
    <w:p>
      <w:pPr>
        <w:spacing w:after="0" w:line="16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adversely affect our ability to commercialize any product candidates we may develop or any other of our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any product candidates we may develop or force us to cease some of our business operations, which could harm our business. Claims that we have misappropriated the confidential information or trade secrets of third parties could have a similar negative impact on our business, financial condition, results of operations and prospects.</w:t>
      </w:r>
    </w:p>
    <w:p>
      <w:pPr>
        <w:spacing w:after="0" w:line="17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or other proceedings could cause us to spend substantial resources and distract our personnel from their normal responsibilities.</w:t>
      </w:r>
    </w:p>
    <w:p>
      <w:pPr>
        <w:spacing w:after="0" w:line="3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Competitors may challenge the validity and enforceability of our patent rights or those of our licensing partners, infringe, misappropriate or otherwise violate our or our licensors’ patent and other intellectual property rights, or we may be required to defend against claims of infringement, misappropriation or other violation. Litigation and other proceedings in connection with any of the foregoing claims can be unpredictable, expensive and time consuming. Even if resolved in our favor, litigation or other proceedings relating to intellectual property claims may cause us to incur significant expenses and could distract our scientific,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4" w:name="page65"/>
    <w:bookmarkEnd w:id="64"/>
    <w:p>
      <w:pPr>
        <w:spacing w:after="0" w:line="244"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or other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 and could have a material adverse effect on our business, financial condition, results of operations and prospects.</w:t>
      </w:r>
    </w:p>
    <w:p>
      <w:pPr>
        <w:spacing w:after="0" w:line="16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be required to obtain licenses to such intellectual property rights, which may not be available on commercially reasonable terms or at all. An inability to incorporate such intellectual property rights would harm our business and may prevent us from successfully commercializing any product candidates we may develop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any product candidates we may develop and our technology, which would have a material adverse effect on our business, results of operations, financial condition and prospects. Even if we are successful in defending against such claims, litigation could result in substantial costs and be a distraction to our scientific and management personnel.</w:t>
      </w:r>
    </w:p>
    <w:p>
      <w:pPr>
        <w:spacing w:after="0" w:line="16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own may have a material adverse effect on our business, financial condition, results of operations and prospects.</w:t>
      </w:r>
    </w:p>
    <w:p>
      <w:pPr>
        <w:spacing w:after="0" w:line="17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addition, we or our licensors may in the future be subject to claims by former employees, consultants or other third parties asserting an ownership right in our owned or licensed patent rights.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any product candidates we may develop. Such challenges may also result in our inability to develop, manufacture or commercialize our technology and product candidates without infringing third-party patent rights. In addition, if the breadth or strength of protection provided by our owned or licensed patent rights are threatened, it could dissuade companies from collaborating with us to license, develop or commercialize current or future technology and product candidates. Any of the foregoing could have a material adverse effect on our business, financial condition, results of operations and prospects.</w:t>
      </w:r>
    </w:p>
    <w:p>
      <w:pPr>
        <w:spacing w:after="0" w:line="172"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product candidates we may develop, our business may be harmed.</w:t>
      </w:r>
    </w:p>
    <w:p>
      <w:pPr>
        <w:spacing w:after="0" w:line="3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Depending upon the timing, duration and specifics of any FDA marketing approval of any product candidates we may develop and our technology, one or more of our U.S. patents that we license or may own in the future may be eligible for limited patent term extension under the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5" w:name="page66"/>
    <w:bookmarkEnd w:id="65"/>
    <w:p>
      <w:pPr>
        <w:ind w:right="40"/>
        <w:spacing w:after="0" w:line="239" w:lineRule="auto"/>
        <w:rPr>
          <w:sz w:val="20"/>
          <w:szCs w:val="20"/>
          <w:color w:val="auto"/>
        </w:rPr>
      </w:pPr>
      <w:r>
        <w:rPr>
          <w:rFonts w:ascii="Arial" w:cs="Arial" w:eastAsia="Arial" w:hAnsi="Arial"/>
          <w:sz w:val="18"/>
          <w:szCs w:val="18"/>
          <w:color w:val="auto"/>
        </w:rPr>
        <w:t>manufacturing it may be extended. The application for the extension must be submitted prior to the expiration of the patent for which extension is sought.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 and other intellectual property rights.</w:t>
      </w:r>
    </w:p>
    <w:p>
      <w:pPr>
        <w:spacing w:after="0" w:line="10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or our licensors may be subject to claims that former employees, collaborators or other third parties have an interest in our owned or in-licensed patent rights, trade secrets or other intellectual property as an inventor or co-inventor. For example, we or our licensors may have inventorship disputes arise from conflicting obligations of employees, consultants or others who are involved in developing our product candidates or technology. Litigation may be necessary to defend against these and other claims challenging inventorship or our or our licensors’ ownership of our owned or in-licensed patent rights,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product candidates we may develop or our technology.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filed trademark applications with the USPTO for our corporate name, logos and tagline and have filed trademark applications in foreign jurisdictions. Our current and future trademark applications in the United States and other foreign jurisdictions may not be allowed or may be subsequently opposed. Once filed and registered, our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which we need to build name recognition among potential partners or customers in our markets of interest. At times,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or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6" w:lineRule="exact"/>
        <w:rPr>
          <w:sz w:val="20"/>
          <w:szCs w:val="20"/>
          <w:color w:val="auto"/>
        </w:rPr>
      </w:pPr>
    </w:p>
    <w:p>
      <w:pPr>
        <w:ind w:left="760" w:right="320" w:hanging="378"/>
        <w:spacing w:after="0" w:line="270"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make products that are similar to any product candidates we may develop but that are not covered by the intellectual property, including the claims of the patents, that we own or license currently or in the future;</w:t>
      </w:r>
    </w:p>
    <w:p>
      <w:pPr>
        <w:spacing w:after="0" w:line="46" w:lineRule="exact"/>
        <w:rPr>
          <w:rFonts w:ascii="Times New Roman" w:cs="Times New Roman" w:eastAsia="Times New Roman" w:hAnsi="Times New Roman"/>
          <w:sz w:val="18"/>
          <w:szCs w:val="18"/>
          <w:color w:val="auto"/>
        </w:rPr>
      </w:pPr>
    </w:p>
    <w:p>
      <w:pPr>
        <w:ind w:left="760" w:right="280" w:hanging="378"/>
        <w:spacing w:after="0" w:line="270"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 that we own or license currently or in the future;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6" w:name="page67"/>
    <w:bookmarkEnd w:id="66"/>
    <w:p>
      <w:pPr>
        <w:ind w:left="760" w:hanging="378"/>
        <w:spacing w:after="0" w:line="270"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46" w:lineRule="exact"/>
        <w:rPr>
          <w:rFonts w:ascii="Times New Roman" w:cs="Times New Roman" w:eastAsia="Times New Roman" w:hAnsi="Times New Roman"/>
          <w:sz w:val="18"/>
          <w:szCs w:val="18"/>
          <w:color w:val="auto"/>
        </w:rPr>
      </w:pPr>
    </w:p>
    <w:p>
      <w:pPr>
        <w:ind w:left="760" w:right="660" w:hanging="378"/>
        <w:spacing w:after="0" w:line="270"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our or our licensors’ current or future pending patent applications will not lead to issued patents;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third parties;</w:t>
      </w:r>
    </w:p>
    <w:p>
      <w:pPr>
        <w:spacing w:after="0" w:line="116" w:lineRule="exact"/>
        <w:rPr>
          <w:rFonts w:ascii="Times New Roman" w:cs="Times New Roman" w:eastAsia="Times New Roman" w:hAnsi="Times New Roman"/>
          <w:sz w:val="18"/>
          <w:szCs w:val="18"/>
          <w:color w:val="auto"/>
        </w:rPr>
      </w:pPr>
    </w:p>
    <w:p>
      <w:pPr>
        <w:ind w:left="760" w:right="320" w:hanging="378"/>
        <w:spacing w:after="0" w:line="252"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might conduct research and development activities in jurisdictions where we do not have patent or other intellectual property rights and then use the information learned from such activities to develop competitive products for sale in our major commercial markets;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116" w:lineRule="exact"/>
        <w:rPr>
          <w:rFonts w:ascii="Times New Roman" w:cs="Times New Roman" w:eastAsia="Times New Roman" w:hAnsi="Times New Roman"/>
          <w:sz w:val="18"/>
          <w:szCs w:val="18"/>
          <w:color w:val="auto"/>
        </w:rPr>
      </w:pPr>
    </w:p>
    <w:p>
      <w:pPr>
        <w:ind w:left="760" w:right="120" w:hanging="378"/>
        <w:spacing w:after="0" w:line="270"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or other third party will discover our trade secrets or that our trade secrets will be misappropriated or disclosed.</w:t>
      </w:r>
    </w:p>
    <w:p>
      <w:pPr>
        <w:spacing w:after="0" w:line="3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Because we currently rely on certain third parties to manufacture all or part of our drug product and to perform quality testing, and because we collaborate with various organizations and academic institutions for the advancement of our product engine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and other similar agreements with our collaborators, advisors, employees, consultants and contractors prior to beginning research or disclosing any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inadvertently incorporated into the technology of others or are disclosed or used in violation of these agreements. Despite our efforts to protect our trade secrets, our competitors may discover our trade secrets, either through breach of these agreements, independent development or publication of information including our trade secrets by third parties. Given that our proprietary position is based in part on our know-how and trade secrets, a competitor’s or other third party’s discovery of our proprietary technology and confidential information or other unauthorized use or disclosure would impair our competitive position and may harm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regulatory and legal compliance matters</w:t>
      </w:r>
    </w:p>
    <w:p>
      <w:pPr>
        <w:spacing w:after="0" w:line="106"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6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we may develop will prevent us from commercializing the product candidate in a given jurisdiction. We have not received approval to market any product candidates from regulatory authorities in any jurisdiction. We have no experience as a company in filing and supporting the applications necessary to gain marketing approvals and expect to rely on third-party CROs to assist us in this process. Securing regulatory approval requires the submission of extensive preclinical and</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ind w:right="340"/>
        <w:spacing w:after="0" w:line="244" w:lineRule="auto"/>
        <w:rPr>
          <w:sz w:val="20"/>
          <w:szCs w:val="20"/>
          <w:color w:val="auto"/>
        </w:rPr>
      </w:pPr>
      <w:r>
        <w:rPr>
          <w:rFonts w:ascii="Arial" w:cs="Arial" w:eastAsia="Arial" w:hAnsi="Arial"/>
          <w:sz w:val="18"/>
          <w:szCs w:val="18"/>
          <w:color w:val="auto"/>
        </w:rPr>
        <w:t>clinical data and supporting information to the various regulatory authorities for each therapeutic indication to establish the product candidate’s safety, purity and potency. Securing regulatory approval also requires the submission of information about the product manufacturing process to, and inspection of manufacturing facilities by, the relevant regulatory authority. Any product candidates we may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6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Of the large number of products in development, only a small percentage successfully complete the FDA or foreign regulatory approval processes and are commercialized. Even if any product candidates we may develop demonstrate safety and efficacy in clinical trials, the regulatory agencies may not complete their review processes in a timely manner, or we may not be able to obtain regulatory approval. Additional delays may result if an FDA Advisory Committee or other regulatory authority recommends non-approval or restrictions on approval.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7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FDA reviews an application to determine whether there is “substantial evidence” to support a finding of effectiveness for the proposed product for its intended use or uses. The FDA has interpreted this evidentiary standard to generally require two adequate and well-controlled clinical trials to establish effectiveness of a new product. In February 2026, the Commissioner of the FDA and the Director of the Center for Biologics Evaluation and Research, or CBER, published an editorial in the New England Journal of Medicine in which they declared that, in most cases, the new default requirement for FDA approval of a new product will be one adequate and well -controlled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The FDA has long had authority to approve new products on the basis of one trial plus confirmatory evidence and, in recent years, the FDA has exercised that authority with respect to certain types of products. The FDA now takes the position that this will be the new official default standard for most product candidates. At this point, it is unclear this new policy will be implemented by the FDA and how, if at all, it will affect our clinical development programs. Further, our product candidates are reviewed by the Center for Drug Evaluation and Research, or CDER. CDER has not explicitly endorsed the position taken by the Commissioner of the FDA and CBER, and it is not clear whether CDER will adopt the one-trial default requirement set forth by CBER and the FDA Commissioner.</w:t>
      </w:r>
    </w:p>
    <w:p>
      <w:pPr>
        <w:spacing w:after="0" w:line="17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Further, under the Pediatric Research Equity Act, or PREA, a new drug application, or NDA, a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the Pediatric Committee of the EMA. For any of our product candidates for which we seek regulatory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17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right="120"/>
        <w:spacing w:after="0" w:line="244" w:lineRule="auto"/>
        <w:rPr>
          <w:sz w:val="20"/>
          <w:szCs w:val="20"/>
          <w:color w:val="auto"/>
        </w:rPr>
      </w:pPr>
      <w:r>
        <w:rPr>
          <w:rFonts w:ascii="Arial" w:cs="Arial" w:eastAsia="Arial" w:hAnsi="Arial"/>
          <w:sz w:val="18"/>
          <w:szCs w:val="18"/>
          <w:color w:val="auto"/>
        </w:rPr>
        <w:t>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Even if we eventually complete clinical testing and receive approval of a BLA or foreign marketing application for any product candidates, the FDA or the comparable foreign regulatory authority may grant approval or other marketing authorization contingent on the performance of costly additional clinical trials, including post-market clinical trials. The FDA or the comparable foreign regulatory authority also may approve or authorize for marketing a product candidate for a more limited indication or patient population than we originally request, and the FDA or comparable foreign regulatory authority may not approve or authorize the labeling that we believe is necessary or desirable for the successful commercialization of a product candidate. Any of these restrictions or commitments could render an approved product not commercially viable, which would materially adversely impact our business and prospects.</w:t>
      </w:r>
    </w:p>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In addition, we could be adversely affected by several significant administrative law cases decided by the U.S. Supreme Court in 2024. In </w:t>
      </w:r>
      <w:r>
        <w:rPr>
          <w:rFonts w:ascii="Arial" w:cs="Arial" w:eastAsia="Arial" w:hAnsi="Arial"/>
          <w:sz w:val="18"/>
          <w:szCs w:val="18"/>
          <w:i w:val="1"/>
          <w:iCs w:val="1"/>
          <w:color w:val="auto"/>
        </w:rPr>
        <w:t>Loper Bright Enterprises v. Raimondo</w:t>
      </w:r>
      <w:r>
        <w:rPr>
          <w:rFonts w:ascii="Arial" w:cs="Arial" w:eastAsia="Arial" w:hAnsi="Arial"/>
          <w:sz w:val="18"/>
          <w:szCs w:val="18"/>
          <w:color w:val="auto"/>
        </w:rPr>
        <w:t>, for example, the court overruled</w:t>
      </w:r>
      <w:r>
        <w:rPr>
          <w:rFonts w:ascii="Arial" w:cs="Arial" w:eastAsia="Arial" w:hAnsi="Arial"/>
          <w:sz w:val="18"/>
          <w:szCs w:val="18"/>
          <w:i w:val="1"/>
          <w:iCs w:val="1"/>
          <w:color w:val="auto"/>
        </w:rPr>
        <w:t xml:space="preserve"> Chevron U.S.A., Inc. v. Natural Resources Defense Council, Inc</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APA. Additionally, in </w:t>
      </w:r>
      <w:r>
        <w:rPr>
          <w:rFonts w:ascii="Arial" w:cs="Arial" w:eastAsia="Arial" w:hAnsi="Arial"/>
          <w:sz w:val="18"/>
          <w:szCs w:val="18"/>
          <w:i w:val="1"/>
          <w:iCs w:val="1"/>
          <w:color w:val="auto"/>
        </w:rPr>
        <w:t>Corner Post, Inc. v. Board of Governors of the Federal Reserve System</w:t>
      </w:r>
      <w:r>
        <w:rPr>
          <w:rFonts w:ascii="Arial" w:cs="Arial" w:eastAsia="Arial" w:hAnsi="Arial"/>
          <w:sz w:val="18"/>
          <w:szCs w:val="18"/>
          <w:color w:val="auto"/>
        </w:rPr>
        <w:t xml:space="preserve">, the U.S. Supreme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Arial" w:cs="Arial" w:eastAsia="Arial" w:hAnsi="Arial"/>
          <w:sz w:val="18"/>
          <w:szCs w:val="18"/>
          <w:i w:val="1"/>
          <w:iCs w:val="1"/>
          <w:color w:val="auto"/>
        </w:rPr>
        <w:t>Securities and Exchange Commission v. Jarkesy</w:t>
      </w:r>
      <w:r>
        <w:rPr>
          <w:rFonts w:ascii="Arial" w:cs="Arial" w:eastAsia="Arial" w:hAnsi="Arial"/>
          <w:sz w:val="18"/>
          <w:szCs w:val="18"/>
          <w:color w:val="auto"/>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16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our ability to develop and market new drug products may be impacted by litigation challenging the FDA’s approval of mifepristone. In April 2023, the U.S. District Court for the Northern District of Texas invalidated the approval by the FDA of mifepristone, a drug product which was originally approved in 2000 and whose distribution is governed by various measures adopted under a Risk Evaluation and Mitigation Strategy. On appeal, the U.S. Court of Appeals for the Fifth Circuit held that plaintiffs were likely to prevail in their claim that changes allowing for expanded access of mifepristone that FDA authorized in 2016 and 2021 were arbitrary and capricious and in violation of federal law. In June 2024, the U.S. Supreme Court reversed and remanded that decision after unanimously finding that the plaintiffs did not have standing to bring this legal action against the FDA. Thereafter, the Attorneys General of three states filed an amended complaint in the district court in Texas challenging the FDA's actions. On September 30, 2025, the district court declined to dismiss the case and, instead, transferred it to the federal district court in the Eastern District of Missouri. Depending on the outcome of this litigation, if it continues, our ability to develop new drug product candidates and to maintain approval of any then-existing drug products could be at risk and could be delayed, undermined or subject to protracted litigation.</w:t>
      </w:r>
    </w:p>
    <w:p>
      <w:pPr>
        <w:spacing w:after="0" w:line="174"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We, or any future collaborator, may seek approval from the FDA or comparable foreign regulatory authorities to use accelerated development pathways for our product candidates. If we, or any future collaborator, are not able to use such pathways, we, or they, may be required to conduct additional clinical trials beyond those that are contemplated, which would increase the expense of obtaining, and delay the receipt of, necessary marketing approvals, if we, or they, receive them at all. In addition, even if an accelerated approval pathway is available to us, or any future collaborator, it may not lead to expedited approval of our product candidates, or approval at all.</w:t>
      </w:r>
    </w:p>
    <w:p>
      <w:pPr>
        <w:spacing w:after="0" w:line="6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are currently pursuing accelerated development pathways for our product candidates for DM1 and DMD. Under the Federal Food, Drug and Cosmetic Act, or FDCA, and implementing regulations, the FDA may grant accelerated approval to a product candidate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ind w:right="20"/>
        <w:spacing w:after="0" w:line="239"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measurement of a therapeutic effect that is considered reasonably likely to predict the clinical benefit of a drug. The accelerated approval pathway may be used in cases in which the advantage of a new drug over available therapy may not be a direct therapeutic advantage, but is a clinically important improvement from a patient and public health perspective. Similar risks to those described above are also applicable to any application that we, or any future collaborator, may submit in jurisdictions outside of the United States. Prior to seeking such accelerated approval, we, or any future collaborator, may continue to seek feedback from the FDA or comparable foreign regulatory agencies and otherwise evaluate our, or their, ability to seek and receive such accelerated approval.</w:t>
      </w:r>
    </w:p>
    <w:p>
      <w:pPr>
        <w:spacing w:after="0" w:line="18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There can be no assurance that the FDA or foreign regulatory agencies will agree with our, or any future collaborators’, surrogate endpoints or intermediate clinical endpoints in any of our, or their, clinical trials, or that we, or future collaborator, will decide to pursue or submit any additional BLAs for accelerated approval or any other form of expedited development, review or approval. Similarly, there can be no assurance that, after feedback from the FDA or comparable foreign regulatory agencies, we, or any future collaborator, will continue to pursue or apply for accelerated approval or any other form of expedited development, review or approval. Furthermore, for any submission of an application for accelerated approval or application under another expedited regulatory designation, there can be no assurance that such submission or application will be accepted for filing or that any expedited development, review or approval will be granted on a timely basis, or at all.</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Finally, there can be no assurance that we will satisfy all FDA requirements, including new provisions, that govern accelerated approval. For example, with passage of the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 We will need to fully comply with these and other requirements in connection with the development and approval of any product candidate that qualifies for accelerated approval.</w:t>
      </w:r>
    </w:p>
    <w:p>
      <w:pPr>
        <w:spacing w:after="0" w:line="18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While these guidances are currently only in draft form and will ultimately not be legally binding even when finalized, we will need to observe the FDA’s guidances closely to ensure that our products qualify for accelerated approval.</w:t>
      </w:r>
    </w:p>
    <w:p>
      <w:pPr>
        <w:spacing w:after="0" w:line="16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Accordingly, a failure to obtain and maintain accelerated approval or any other form of expedited development, review or approval for our product candidates, or withdrawal of a product candidate, would result in a longer time period until commercialization of such product candidate, could increase the cost of development of such product candidate and could harm our competitive position in the marketplace.</w:t>
      </w:r>
    </w:p>
    <w:p>
      <w:pPr>
        <w:spacing w:after="0" w:line="1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Obtaining and maintaining marketing approval or commercialization of our product candidates in the United States does not mean that we will be successful in obtaining marketing approval of our product candidates in other jurisdictions. Failure to obtain marketing approval in foreign jurisdictions would prevent any product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right="740"/>
        <w:spacing w:after="0" w:line="278" w:lineRule="auto"/>
        <w:rPr>
          <w:sz w:val="20"/>
          <w:szCs w:val="20"/>
          <w:color w:val="auto"/>
        </w:rPr>
      </w:pPr>
      <w:r>
        <w:rPr>
          <w:rFonts w:ascii="Arial" w:cs="Arial" w:eastAsia="Arial" w:hAnsi="Arial"/>
          <w:sz w:val="18"/>
          <w:szCs w:val="18"/>
          <w:b w:val="1"/>
          <w:bCs w:val="1"/>
          <w:i w:val="1"/>
          <w:iCs w:val="1"/>
          <w:color w:val="auto"/>
        </w:rPr>
        <w:t>candidates we may develop from being marketed in such jurisdictions, which, in turn, would materially impair our ability to generate revenue.</w:t>
      </w:r>
    </w:p>
    <w:p>
      <w:pPr>
        <w:spacing w:after="0" w:line="3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order to market and sell any product candidates we may develop in the European Union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Medicines and Healthcare products Regulatory Agency, or the MHRA, is responsible for approving all medicinal products destined for the United Kingdom market (i.e., Great Britain and Northern Ireland). On April 28, 2025, the U.K. Parliament adopted amendments to improve and strengthen the U.K.’s clinical trials regulatory regime; they will take effect on April 28, 2026. These changes were needed since the current U.K. requirements are based upon the now-repealed EU Clinical Trials Directive (2001/20/EC), which has been replaced by the European Clinical Trials Regulation (Regulation EU No 536/2014). Since the United Kingdom left the European Union prior to the date on which the EU CTR took effect, the UK legal framework did not benefit from the same revisions as occurred at EU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Further, as of January 1, 2025, a new international recognition procedure, or IRP, will apply,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EU/European Economic Area, or EEA, member states for approvals in the EU centralized procedure and mutual recognition procedure as well as the FDA (for product approvals granted in the United States). However, the concrete functioning of the IRP is currently unclear. Any delay in obtaining, or an inability to obtain, any marketing approvals, as a result of Brexit or otherwise, may force us or our collaborators to restrict or delay efforts to seek regulatory approval in the UK for our product candidates, which could significantly and materially harm our business.</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in April 2023. On June 4, 2025, after almost two years of negotiations among the EU Member States, the Council of the European Union adopted its position on the proposed overhaul of the EU general pharmaceutical legislative framework, which is known as the new Pharma Package. Thereafter, on December 11, 2025, the European Parliament and Council reached a provisional political agreement on the legislation. The Council formally adopted these new provisions on September 28, 2026. The new provisions are expected to be approved by the Parliament and to enter force by December 2026, and to become applicable in late 2028. The new provisions may have a significant impact on the pharmaceutical industry and our business. They would, among other things, set a baseline period of eight years of data exclusivity and one year of market exclusivity with possible extensions for new indications up to a maximum of 11 years total.</w:t>
      </w:r>
    </w:p>
    <w:p>
      <w:pPr>
        <w:spacing w:after="0" w:line="172" w:lineRule="exact"/>
        <w:rPr>
          <w:sz w:val="20"/>
          <w:szCs w:val="20"/>
          <w:color w:val="auto"/>
        </w:rPr>
      </w:pPr>
    </w:p>
    <w:p>
      <w:pPr>
        <w:jc w:val="both"/>
        <w:ind w:right="120"/>
        <w:spacing w:after="0" w:line="244" w:lineRule="auto"/>
        <w:rPr>
          <w:sz w:val="20"/>
          <w:szCs w:val="20"/>
          <w:color w:val="auto"/>
        </w:rPr>
      </w:pPr>
      <w:r>
        <w:rPr>
          <w:rFonts w:ascii="Arial" w:cs="Arial" w:eastAsia="Arial" w:hAnsi="Arial"/>
          <w:sz w:val="18"/>
          <w:szCs w:val="18"/>
          <w:color w:val="auto"/>
        </w:rPr>
        <w:t>Any delay in obtaining, or an inability to obtain, any marketing approvals, as a result of the Trade and Cooperation Agreement or otherwise, would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the European Union for any product candidates we may develop, which could significantly and materially harm our business.</w:t>
      </w:r>
    </w:p>
    <w:p>
      <w:pPr>
        <w:spacing w:after="0" w:line="165"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are conducting and intend to conduct certain of our clinical trials globally. However, the FDA and other foreign equivalents may not accept data from such trials, in which case our development plans will be delayed, which could materially harm our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We are conducting and intend to continue conducting certain of our clinical trials globally. The acceptance by the FDA or other regulatory authorities of study data from clinical trials conducted outside their jurisdiction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cGCP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even where the foreign study data are not intended to serve as the sole basis for approval, the FDA will not accept the data as support for an application for marketing approval unless the clinical trial is well-designed and well-conducted in accordance with cGCP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7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additional foreign regulatory requirements; foreign exchange fluctuations; compliance with foreign manufacturing, customs, shipment and storage requirements; cultural differences in medical practice and clinical research; diminished protection of intellectual property in some countries; and interruptions or delays in our trials resulting from geopolitical events, such as war or terrorism.</w:t>
      </w:r>
    </w:p>
    <w:p>
      <w:pPr>
        <w:spacing w:after="0" w:line="162"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Fast Track designation by the FDA may not actually lead to a faster development or regulatory review or approval process and does not assure FDA approval of any product candidates we may develop.</w:t>
      </w:r>
    </w:p>
    <w:p>
      <w:pPr>
        <w:spacing w:after="0" w:line="3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any product candidate we may develop is intended for the treatment of a serious or life-threatening condition and the product candidate demonstrates the potential to address unmet medical need for this condition, we may apply for FDA Fast Track designation. In October 2022, the FDA granted Fast Track designation for z-rostudirsen, and in January 2025, the FDA granted Fast Track designation for z-basivarsen. However, a Fast Track designation does not ensure that the product candidate will receive marketing approval or that approval will be granted within any particular timeframe. As a result, while we may seek and receive Fast Track designation for any product candidates we may develop, we may not experience a faster development process, review or approval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9"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Breakthrough or RMAT therapy designation by the FDA may not lead to a faster regulatory review or approval process and, in any event, does not assure FDA approval of any product candidates we may develop.</w:t>
      </w:r>
    </w:p>
    <w:p>
      <w:pPr>
        <w:spacing w:after="0" w:line="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any product candidate we may develop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sponsor may apply for FDA breakthrough designation or a regenerative medicine advanced therapy, or RMAT, designation. In June 2025, the FDA granted Breakthrough Therapy Designation to z-basivarsen for the treatment of DM1. Additionally, in August 2025, the FDA granted Breakthrough Therapy Designation to z-rostudirsen for the treatment of DMD, amenable to exon 51 skipping. However, neither a breakthrough designation nor an RMAT designation ensures that the product candidate will receive marketing approval or that approval will be granted within any particular timeframe. As a result, while we may seek and receive breakthrough or RMAT designation for any product candidates we may develop, we may not experience a faster development process, review or approval compared to conventional FDA procedures. In addition, the FDA may withdraw breakthrough or RMAT designation if it believes that the designation is no longer supported by data from our clinical development program. Neither breakthrough nor RMAT designation alone guarantees qualification for the FDA’s priority review procedures.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p>
      <w:pPr>
        <w:ind w:right="200"/>
        <w:spacing w:after="0" w:line="278" w:lineRule="auto"/>
        <w:rPr>
          <w:sz w:val="20"/>
          <w:szCs w:val="20"/>
          <w:color w:val="auto"/>
        </w:rPr>
      </w:pPr>
      <w:r>
        <w:rPr>
          <w:rFonts w:ascii="Arial" w:cs="Arial" w:eastAsia="Arial" w:hAnsi="Arial"/>
          <w:sz w:val="18"/>
          <w:szCs w:val="18"/>
          <w:b w:val="1"/>
          <w:bCs w:val="1"/>
          <w:i w:val="1"/>
          <w:iCs w:val="1"/>
          <w:color w:val="auto"/>
        </w:rPr>
        <w:t>Priority review designation by the FDA may not lead to a faster regulatory review or approval process and, in any event, does not assure FDA approval of any product candidates we may develop.</w:t>
      </w:r>
    </w:p>
    <w:p>
      <w:pPr>
        <w:spacing w:after="0" w:line="3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If the FDA determines that a product candidate we may develop offers major advances in treatment or provides a treatment where no adequate therapy exists, the FDA may designate the product candidate for priority review. A priority review designation means that the goal for the FDA to review an application is six months, rather than the standard review period of ten months. We may request priority review for any product candidates we may develop. Our expectations regarding the timeline for the potential commercial launch of z-rostudirsen reflect that z-rostudirsen was granted priority review by the FDA, and our expectations regarding the timeline for the potential commercial launch of z-basivarsen contemplate its receipt of priority review by the FDA. However, the FDA has broad discretion with respect to whether or not to grant priority review status to a product candidate, so even if we believe a particular product candidate we may develop is eligible for such designation or status, the FDA may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16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On June 17, 2025, the FDA announced the creation of a new voucher program to expedite the development and approval of new drug products. Vouchers issued under the new program, which is known as the Commissioner’s National Priority Voucher, or CNPV, Program, may reportedly be redeemed by sponsors to shorten the review time of a BLA from approximately 10 to 12 months to 1 to 2 months. The FDA has indicated that the new CNPV process will convene experts from the FDA’s offices for a team-based review rather than using the standard review system of a drug application being sent to numerous FDA offices. Clinical information will be reviewed by a multidisciplinary team of physicians and scientists who will pre-review the submitted information and convene for a 1-day meeting. Vouchers under this program will reportedly be given to companies aligned with U.S. national priorities. As of October 19, 2026, the FDA has issued 21 vouchers and approved 11 products under this program.</w:t>
      </w:r>
    </w:p>
    <w:p>
      <w:pPr>
        <w:spacing w:after="0" w:line="169"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We may not be able to obtain orphan drug exclusivity for product candidates we may develop, and even if we do, that exclusivity may not prevent regulatory authorities from approving other competing products.</w:t>
      </w:r>
    </w:p>
    <w:p>
      <w:pPr>
        <w:spacing w:after="0" w:line="3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March 2023, April 2025 and September 2025, the EMA, FDA and the Ministry of Health, Labour and Welfare in Japan, respectively, granted orphan drug designation to z-rostudirsen for the treatment of DMD in patients amenable to exon 51 skipping. In May and September 2023, respectively, the EMA and FDA granted orphan drug designation to z-basivarsen for the treatment of DM1. Additionally, in January 2026, the Ministry of Health, Labour and Welfare in Japan also granted orphan drug designation to z-basivarsen for the treatment of DM1. Under the Orphan Drug Act of 1983, or the Orphan Drug Act, the FDA may designate a product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16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order for the FDA to grant orphan drug exclusivity to one of our products, the agency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we obtain orphan drug exclusivity for a product, that exclusivity may not effectively protect the product from competition because different products can be approved for the same condition. In particular, the concept of what constitutes the “same drug” for purposes of orphan drug exclusivity remains in flux in the context of gene therapies, and the FDA has issued recent draft guidance suggesting that it would not consider two genetic medicine products to be different drugs solely based on minor differences in the transgenes or vectors.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7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In 2017, the U.S. Congress passed the FDA Reauthorization Act of 2017, or the FDARA. FDARA, among other things, codified the FDA’s pre-existing regulatory interpretation, to require that a drug sponsor demonstrate the clinical superiority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73" w:name="page74"/>
    <w:bookmarkEnd w:id="73"/>
    <w:p>
      <w:pPr>
        <w:ind w:right="220"/>
        <w:spacing w:after="0" w:line="253" w:lineRule="auto"/>
        <w:rPr>
          <w:sz w:val="20"/>
          <w:szCs w:val="20"/>
          <w:color w:val="auto"/>
        </w:rPr>
      </w:pPr>
      <w:r>
        <w:rPr>
          <w:rFonts w:ascii="Arial" w:cs="Arial" w:eastAsia="Arial" w:hAnsi="Arial"/>
          <w:sz w:val="18"/>
          <w:szCs w:val="18"/>
          <w:color w:val="auto"/>
        </w:rPr>
        <w:t>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FDA and the U.S. Congress may further reevaluate the Orphan Drug Act and its regulations and policies. For example, in September 2021, the U.S. Court of Appeals for the Eleventh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Eleventh Circuit decision, and that decision was appealed to the U.S. Court of Appeals for the D.C. Circuit. On February 3, 2026, the U.S. Congress passed the Consolidated Appropriations Act of 2026, which overrules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w:t>
      </w:r>
    </w:p>
    <w:p>
      <w:pPr>
        <w:spacing w:after="0" w:line="1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Even if we, or any collaborators we may have, obtain marketing approvals for any product candidates we may develop, the terms of approvals and ongoing regulation of our products could require the substantial expenditure of resources and may limit how we, or they, manufacture and market our products, which could materially impair our ability to generate revenue.</w:t>
      </w:r>
    </w:p>
    <w:p>
      <w:pPr>
        <w:spacing w:after="0" w:line="5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product candidate for which we obtain marketing approval, if ever,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For example, the holder of an approved BLA is obligated to monitor and report adverse events and any failure of a product to meet the specifications in the BLA. The FDA typically advises that patients treated with genetic medicine undergo follow-up observations for potential adverse events for a 15-year period. The holder of an approved BLA must also submit new or supplemental applications and obtain FDA approval for certain changes to the approved product, product labeling or manufacturing process.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 Similar restrictions apply to the approval of products in the European Union.</w:t>
      </w:r>
    </w:p>
    <w:p>
      <w:pPr>
        <w:spacing w:after="0" w:line="16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Accordingly, assuming we, or any third parties we may collaborate with, receive marketing approval for one or more product candidates we may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7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If we fail to comply with applicable regulatory requirements following approval of any product candidates we may develop, a regulatory agency may:</w:t>
      </w:r>
    </w:p>
    <w:p>
      <w:pPr>
        <w:spacing w:after="0" w:line="46"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issue a warning letter asserting that we are in violation of the law;</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seek an injunction or impose civil or criminal penalties or monetary fines;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suspend or withdraw regulatory approval;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suspend any ongoing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approve a pending BLA or supplements to a BLA submitted by us;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seize product;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4" w:name="page75"/>
    <w:bookmarkEnd w:id="74"/>
    <w:p>
      <w:pPr>
        <w:jc w:val="both"/>
        <w:ind w:right="280"/>
        <w:spacing w:after="0" w:line="25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generate revenues.</w:t>
      </w:r>
    </w:p>
    <w:p>
      <w:pPr>
        <w:spacing w:after="0" w:line="157"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i w:val="1"/>
          <w:iCs w:val="1"/>
          <w:color w:val="auto"/>
        </w:rPr>
        <w:t>Any product candidate we may develop for which we obtain marketing approval will be subject to restrictions, such as the laws and regulations prohibiting the promotion of off-label uses, or may need to be withdrawn from the market, and we may be subject to substantial penalties if we fail to comply with regulatory requirements or if we experience unanticipated problems with our medicines, when and if any of them are approved.</w:t>
      </w:r>
    </w:p>
    <w:p>
      <w:pPr>
        <w:spacing w:after="0" w:line="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or DOJ. Violation of the Federal Food, Product,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6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the agency’s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 If a company engages in such communications consistent with the guidance's recommendations, the FDA indicated that it will not treat such communications as evidence of unlawful promotion of a new intended use for the approved product. In addition, under some recent guidance from the FDA and the Pre-Approval Information Exchange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16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Further, on September 9, 2025, the President issued a Memorandum directing the Department of Health and Human Services, or HHS, to "ensure transparency and accuracy in direct-to-consumer prescription drug advertising, including by increasing the amount of information regarding any risks associated with the use of any such prescription drug required to be provided in prescription drug advertisements." The same day, the FDA declared that it will no longer tolerate what it characterized as "deceptive practices" in prescription drug advertising and that the agency would "aggressively deploy" its available enforcement tools, with "heightened scrutiny" of fair balance and disclosures in social media promotions. The FDA issued a generic "notice letter" to a substantial number of companies directing such companies to "remove any noncompliant advertising and bring all promotional communications into compliance." When and if our products are approved, we will need to maintain a robust compliance program and processes designed to ensure that all such advertising activities are performed in a legal and compliant manner.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5" w:name="page76"/>
    <w:bookmarkEnd w:id="75"/>
    <w:p>
      <w:pPr>
        <w:ind w:right="420"/>
        <w:spacing w:after="0" w:line="271" w:lineRule="auto"/>
        <w:rPr>
          <w:sz w:val="20"/>
          <w:szCs w:val="20"/>
          <w:color w:val="auto"/>
        </w:rPr>
      </w:pPr>
      <w:r>
        <w:rPr>
          <w:rFonts w:ascii="Arial" w:cs="Arial" w:eastAsia="Arial" w:hAnsi="Arial"/>
          <w:sz w:val="18"/>
          <w:szCs w:val="18"/>
          <w:color w:val="auto"/>
        </w:rPr>
        <w:t>In addition, later discovery of previously unknown problems with our medicines, manufacturers or manufacturing processes, or failure to comply with regulatory requirements, may yield various results, including:</w:t>
      </w:r>
    </w:p>
    <w:p>
      <w:pPr>
        <w:spacing w:after="0" w:line="46"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such medicines, manufacturers or manufacturing processes;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labeling or marketing of a medicine;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distribution or use of a medicine;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post-marketing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warning or untitled letters;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the medicines from the market;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recall of medicines;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fines, restitution or disgorgement of profits or revenue;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suspension or withdrawal of marketing approvals;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suspension of any ongoing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refusal to permit the import or export of our medicines;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11"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Additionally, if any product candidates we may develop receive marketing approval, the FDA could require us to adopt a Risk Evaluation and Mitigation Strategy to ensure that the benefits outweigh its risks, which may include, among other things, a medication guide outlining the risks of the product for distribution to patients and a communication plan to healthcare practitioners. Furthermore, if we or others later identify undesirable side effects caused by our product candidate, several potentially significant negative consequences could result, including:</w:t>
      </w:r>
    </w:p>
    <w:p>
      <w:pPr>
        <w:spacing w:after="0" w:line="25"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on the label;</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sued and held liable for harm caused to patients; and</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13"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The manufacturing facilities on which we rely may not continue to meet regulatory requirements, which could materially harm our business.</w:t>
      </w:r>
    </w:p>
    <w:p>
      <w:pPr>
        <w:spacing w:after="0" w:line="3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All entities involved in the preparation of product candidates for clinical trials or commercial sale, including any contract manufacturers, are subject to extensive regulation.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 must supply all necessary documentation in support of a BLA on a timely basis and must adhere to the FDA’s cGLP and cGMP regulations enforced through its facilities inspection program. Our facilities and quality systems and the facilities and quality systems of some or all of our third-party contractors must pass a pre-approval inspection for compliance with the applicable regulations as a condition of regulatory approval of any product candidates we may develop or any of our other potential products. In addition, the regulatory authorities may, at any time, audit or inspect a manufacturing facility involved with the preparation of our product candidates or our other potential</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76" w:name="page77"/>
    <w:bookmarkEnd w:id="76"/>
    <w:p>
      <w:pPr>
        <w:ind w:right="180"/>
        <w:spacing w:after="0" w:line="271" w:lineRule="auto"/>
        <w:rPr>
          <w:sz w:val="20"/>
          <w:szCs w:val="20"/>
          <w:color w:val="auto"/>
        </w:rPr>
      </w:pPr>
      <w:r>
        <w:rPr>
          <w:rFonts w:ascii="Arial" w:cs="Arial" w:eastAsia="Arial" w:hAnsi="Arial"/>
          <w:sz w:val="18"/>
          <w:szCs w:val="18"/>
          <w:color w:val="auto"/>
        </w:rPr>
        <w:t>products or the associated quality systems for compliance with the regulations applicable to the activities being conducted. If these facilities do not pass a pre-approval plant inspection, FDA approval of the products will not be granted.</w:t>
      </w:r>
    </w:p>
    <w:p>
      <w:pPr>
        <w:spacing w:after="0" w:line="14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 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w:t>
      </w:r>
    </w:p>
    <w:p>
      <w:pPr>
        <w:spacing w:after="0" w:line="170"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product, or revocation of a pre-existing approval. Any such consequence would severely harm our business, financial condition and results of operations.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payers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51"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color w:val="auto"/>
        </w:rPr>
        <w:t>Healthcare providers, physicians and third-party payers play a primary role in the recommendation and prescription of any product candidates that we develop for which we obtain marketing approval. Our future arrangements with third-party payers and customers may expose us to broadly applicable fraud and abuse and other healthcare laws and regulations that may constrain the business or financial arrangements and relationships through which we research, market, sell and distribute our medicines for which we obtain marketing approval. Restrictions under applicable federal and state healthcare laws and regulations include the following:</w:t>
      </w:r>
    </w:p>
    <w:p>
      <w:pPr>
        <w:spacing w:after="0" w:line="68" w:lineRule="exact"/>
        <w:rPr>
          <w:sz w:val="20"/>
          <w:szCs w:val="20"/>
          <w:color w:val="auto"/>
        </w:rPr>
      </w:pPr>
    </w:p>
    <w:p>
      <w:pPr>
        <w:jc w:val="both"/>
        <w:ind w:left="760" w:right="240" w:hanging="378"/>
        <w:spacing w:after="0" w:line="246" w:lineRule="auto"/>
        <w:tabs>
          <w:tab w:leader="none" w:pos="7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68" w:lineRule="exact"/>
        <w:rPr>
          <w:rFonts w:ascii="Times New Roman" w:cs="Times New Roman" w:eastAsia="Times New Roman" w:hAnsi="Times New Roman"/>
          <w:sz w:val="18"/>
          <w:szCs w:val="18"/>
          <w:color w:val="auto"/>
        </w:rPr>
      </w:pPr>
    </w:p>
    <w:p>
      <w:pPr>
        <w:ind w:left="760" w:right="60" w:hanging="378"/>
        <w:spacing w:after="0" w:line="242" w:lineRule="auto"/>
        <w:tabs>
          <w:tab w:leader="none" w:pos="7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and criminal false claims laws, including the federal False Claims Act, and civil monetary penalty laws which can be enforced through civil whistleblower or qui tam actions, imposes civil and criminal penalties against individuals or entities for knowingly presenting or causing to be presented, to the federal government, claims for payment or approval from Medicare, Medicaid or other government payers that are false or fraudulent or making a false statement to avoid, decrease or conceal an obligation to pay money to the federal government, with potential liability including mandatory treble damages and significant per-claim penalties;</w:t>
      </w:r>
    </w:p>
    <w:p>
      <w:pPr>
        <w:spacing w:after="0" w:line="69" w:lineRule="exact"/>
        <w:rPr>
          <w:rFonts w:ascii="Times New Roman" w:cs="Times New Roman" w:eastAsia="Times New Roman" w:hAnsi="Times New Roman"/>
          <w:sz w:val="18"/>
          <w:szCs w:val="18"/>
          <w:color w:val="auto"/>
        </w:rPr>
      </w:pPr>
    </w:p>
    <w:p>
      <w:pPr>
        <w:ind w:left="760" w:right="20" w:hanging="378"/>
        <w:spacing w:after="0" w:line="242" w:lineRule="auto"/>
        <w:tabs>
          <w:tab w:leader="none" w:pos="7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69" w:lineRule="exact"/>
        <w:rPr>
          <w:rFonts w:ascii="Times New Roman" w:cs="Times New Roman" w:eastAsia="Times New Roman" w:hAnsi="Times New Roman"/>
          <w:sz w:val="18"/>
          <w:szCs w:val="18"/>
          <w:color w:val="auto"/>
        </w:rPr>
      </w:pPr>
    </w:p>
    <w:p>
      <w:pPr>
        <w:ind w:left="760" w:right="20" w:hanging="378"/>
        <w:spacing w:after="0" w:line="243" w:lineRule="auto"/>
        <w:tabs>
          <w:tab w:leader="none" w:pos="7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HIPAA, as further amended by the Health Information Technology for Economic and Clinical Health Act, or HITECH, which imposes certain requirements, including mandatory contractual terms, on covered entities subject to the rule, such as health plans, healthcare clearinghouses and certain healthcare providers,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71" w:lineRule="exact"/>
        <w:rPr>
          <w:rFonts w:ascii="Times New Roman" w:cs="Times New Roman" w:eastAsia="Times New Roman" w:hAnsi="Times New Roman"/>
          <w:sz w:val="18"/>
          <w:szCs w:val="18"/>
          <w:color w:val="auto"/>
        </w:rPr>
      </w:pPr>
    </w:p>
    <w:p>
      <w:pPr>
        <w:ind w:left="760" w:hanging="378"/>
        <w:spacing w:after="0" w:line="252" w:lineRule="auto"/>
        <w:tabs>
          <w:tab w:leader="none" w:pos="7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transparency requirements under the federal Physician Payments Sunshine Act, which requires certain manufacturers of drugs, devices, biologics and medical supplies to report to the HHS information related to payments and other transfers of value to physicians, as defined by such law, other healthcare providers and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left="760" w:right="140"/>
        <w:spacing w:after="0" w:line="271" w:lineRule="auto"/>
        <w:rPr>
          <w:sz w:val="20"/>
          <w:szCs w:val="20"/>
          <w:color w:val="auto"/>
        </w:rPr>
      </w:pPr>
      <w:r>
        <w:rPr>
          <w:rFonts w:ascii="Arial" w:cs="Arial" w:eastAsia="Arial" w:hAnsi="Arial"/>
          <w:sz w:val="18"/>
          <w:szCs w:val="18"/>
          <w:color w:val="auto"/>
        </w:rPr>
        <w:t>teaching hospitals and ownership and investment interests held by physicians and their immediate family members and applicable group purchasing organizations; and</w:t>
      </w:r>
    </w:p>
    <w:p>
      <w:pPr>
        <w:spacing w:after="0" w:line="46" w:lineRule="exact"/>
        <w:rPr>
          <w:sz w:val="20"/>
          <w:szCs w:val="20"/>
          <w:color w:val="auto"/>
        </w:rPr>
      </w:pPr>
    </w:p>
    <w:p>
      <w:pPr>
        <w:ind w:left="760" w:right="380" w:hanging="378"/>
        <w:spacing w:after="0" w:line="242" w:lineRule="auto"/>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non-governmental third-party payers, including private insurers, and certain state laws that require pharmaceutical companies to comply with the pharmaceutical industry’s voluntary compliance guidelines and the relevant compliance guidance promulgated by the federal government in addition to requiring drug manufacturers to report information related to drug pricing and payments to physicians and other healthcare providers or marketing expenditures and state and local laws that require the registration of sales representatives.</w:t>
      </w:r>
    </w:p>
    <w:p>
      <w:pPr>
        <w:spacing w:after="0" w:line="16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 Member States and the United Kingdom, such as the UK Bribery Act 2010. Violation of these laws could result in substantial fines and imprisonment.</w:t>
      </w:r>
    </w:p>
    <w:p>
      <w:pPr>
        <w:spacing w:after="0" w:line="16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integrity oversight and reporting obligations, and the curtailment or restructuring of our operations. If any of the physicians or other providers or entities with whom we expect to do business are found to be not in compliance with applicable laws, they may be subject to significant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174" w:lineRule="exact"/>
        <w:rPr>
          <w:sz w:val="20"/>
          <w:szCs w:val="20"/>
          <w:color w:val="auto"/>
        </w:rPr>
      </w:pPr>
    </w:p>
    <w:p>
      <w:pPr>
        <w:ind w:right="1280"/>
        <w:spacing w:after="0" w:line="278" w:lineRule="auto"/>
        <w:rPr>
          <w:sz w:val="20"/>
          <w:szCs w:val="20"/>
          <w:color w:val="auto"/>
        </w:rPr>
      </w:pPr>
      <w:r>
        <w:rPr>
          <w:rFonts w:ascii="Arial" w:cs="Arial" w:eastAsia="Arial" w:hAnsi="Arial"/>
          <w:sz w:val="18"/>
          <w:szCs w:val="18"/>
          <w:b w:val="1"/>
          <w:bCs w:val="1"/>
          <w:i w:val="1"/>
          <w:iCs w:val="1"/>
          <w:color w:val="auto"/>
        </w:rPr>
        <w:t>Legislative and regulatory changes may increase the difficulty and cost for us and any future collaborators to obtain reimbursement for our product candidates, if and when approved.</w:t>
      </w:r>
    </w:p>
    <w:p>
      <w:pPr>
        <w:spacing w:after="0" w:line="3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any product candidates we may develop,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6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sales prices for physician 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Medicare Modernization Act applies only to drug benefits for Medicare beneficiaries, private payers often follow Medicare coverage policy and payment limitations in setting their own reimbursement rates. Therefore, any reduction in reimbursement that results from the Medicare Modernization Act may result in a similar reduction in payments from private payers.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ind w:right="100"/>
        <w:spacing w:after="0" w:line="253" w:lineRule="auto"/>
        <w:rPr>
          <w:sz w:val="20"/>
          <w:szCs w:val="20"/>
          <w:color w:val="auto"/>
        </w:rPr>
      </w:pPr>
      <w:r>
        <w:rPr>
          <w:rFonts w:ascii="Arial" w:cs="Arial" w:eastAsia="Arial" w:hAnsi="Arial"/>
          <w:sz w:val="18"/>
          <w:szCs w:val="18"/>
          <w:color w:val="auto"/>
        </w:rPr>
        <w:t>The ACA, which became law in 2010, contains provisions of importance to our business. Our ability to commercialize and the prices we may obtain for any product candidates we may develop and that are approved for sale, may be affected by these provisions, including without limitation, the following:</w:t>
      </w:r>
    </w:p>
    <w:p>
      <w:pPr>
        <w:spacing w:after="0" w:line="61"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6" w:lineRule="exact"/>
        <w:rPr>
          <w:rFonts w:ascii="Times New Roman" w:cs="Times New Roman" w:eastAsia="Times New Roman" w:hAnsi="Times New Roman"/>
          <w:sz w:val="18"/>
          <w:szCs w:val="18"/>
          <w:color w:val="auto"/>
        </w:rPr>
      </w:pPr>
    </w:p>
    <w:p>
      <w:pPr>
        <w:ind w:left="760" w:right="860" w:hanging="378"/>
        <w:spacing w:after="0" w:line="270" w:lineRule="auto"/>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federal healthcare fraud and abuse laws, including the False Claims Act and the Anti-Kickback Statute, new government investigative powers and enhanced penalties for noncompliance;</w:t>
      </w:r>
    </w:p>
    <w:p>
      <w:pPr>
        <w:spacing w:after="0" w:line="46" w:lineRule="exact"/>
        <w:rPr>
          <w:rFonts w:ascii="Times New Roman" w:cs="Times New Roman" w:eastAsia="Times New Roman" w:hAnsi="Times New Roman"/>
          <w:sz w:val="18"/>
          <w:szCs w:val="18"/>
          <w:color w:val="auto"/>
        </w:rPr>
      </w:pPr>
    </w:p>
    <w:p>
      <w:pPr>
        <w:ind w:left="760" w:right="740" w:hanging="378"/>
        <w:spacing w:after="0" w:line="270" w:lineRule="auto"/>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extension of manufacturers’ Medicaid rebate liability;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eligibility criteria for Medicaid programs;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6" w:lineRule="exact"/>
        <w:rPr>
          <w:rFonts w:ascii="Times New Roman" w:cs="Times New Roman" w:eastAsia="Times New Roman" w:hAnsi="Times New Roman"/>
          <w:sz w:val="18"/>
          <w:szCs w:val="18"/>
          <w:color w:val="auto"/>
        </w:rPr>
      </w:pPr>
    </w:p>
    <w:p>
      <w:pPr>
        <w:ind w:left="760" w:right="1040" w:hanging="378"/>
        <w:spacing w:after="0" w:line="270" w:lineRule="auto"/>
        <w:tabs>
          <w:tab w:leader="none" w:pos="7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41" w:lineRule="exact"/>
        <w:rPr>
          <w:sz w:val="20"/>
          <w:szCs w:val="20"/>
          <w:color w:val="auto"/>
        </w:rPr>
      </w:pPr>
    </w:p>
    <w:p>
      <w:pPr>
        <w:ind w:right="460"/>
        <w:spacing w:after="0" w:line="241" w:lineRule="auto"/>
        <w:rPr>
          <w:sz w:val="20"/>
          <w:szCs w:val="20"/>
          <w:color w:val="auto"/>
        </w:rPr>
      </w:pPr>
      <w:r>
        <w:rPr>
          <w:rFonts w:ascii="Arial" w:cs="Arial" w:eastAsia="Arial" w:hAnsi="Arial"/>
          <w:sz w:val="18"/>
          <w:szCs w:val="18"/>
          <w:color w:val="auto"/>
        </w:rPr>
        <w:t>In addition, other legislative changes have been adopted since the ACA was enacted. These changes include the Budget Control Act of 2011, which, among other things, led to aggregate reductions to Medicare payments to providers of up to 2% per fiscal year, which will remain in effect through 2031. However, as a result of other legislation, the actual reductions in Medicare payments may vary up to 4%.</w:t>
      </w:r>
    </w:p>
    <w:p>
      <w:pPr>
        <w:spacing w:after="0" w:line="2"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Since enactment of the ACA, there have been, and continue to be, numerous executive and legal challenges and U.S. congressional actions to repeal and replace provisions of the law. For example, with enactment of the Tax Act, the U.S. Congress effectively repealed the “individual mandate” by reducing the applicable penalty to zero dollars. The modification of this provision, which required most Americans to carry a minimal level of health insurance, became effective in 2019. Litigation and legislation over the ACA are likely to continue, with unpredictable and uncertain results.</w:t>
      </w:r>
    </w:p>
    <w:p>
      <w:pPr>
        <w:spacing w:after="0" w:line="16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potential products are prescribed or administered. Any reduction in reimbursement from Medicare or other government programs may result in a similar reduction in payments from private payers.</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approved.</w:t>
      </w:r>
    </w:p>
    <w:p>
      <w:pPr>
        <w:spacing w:after="0" w:line="3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prices of prescription pharmaceuticals have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addition, in October 2020, HHS and the FDA published a final rule allowing states and other entities to develop a Section 804 Importation Program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9" w:name="page80"/>
    <w:bookmarkEnd w:id="79"/>
    <w:p>
      <w:pPr>
        <w:spacing w:after="0" w:line="244" w:lineRule="auto"/>
        <w:rPr>
          <w:sz w:val="20"/>
          <w:szCs w:val="20"/>
          <w:color w:val="auto"/>
        </w:rPr>
      </w:pPr>
      <w:r>
        <w:rPr>
          <w:rFonts w:ascii="Arial" w:cs="Arial" w:eastAsia="Arial" w:hAnsi="Arial"/>
          <w:sz w:val="18"/>
          <w:szCs w:val="18"/>
          <w:color w:val="auto"/>
        </w:rPr>
        <w:t>A number of states have submitted Section 804 Importation Program proposals to the FDA with the goal of obtaining authority to import drugs from Canada, subject to conditions. On May 21, 2025, the FDA announced that it would offer individual states the opportunity to submit a draft proposal for pre-review and meet with the FDA to obtain initial feedback from the FDA prior to formally submitting their Section 804 importation program proposal. The intent of these meetings is to assist states in developing their proposals by further clarifying requirements, enhancing the quality of proposals submitted to the FDA and ultimately shortening the review timeline.</w:t>
      </w:r>
    </w:p>
    <w:p>
      <w:pPr>
        <w:spacing w:after="0" w:line="16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August 16, 2022, the Inflation Reduction Act, or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Specifically, with respect to price negotiations, the U.S.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did not originally apply to drugs and biologics that have been approved for a single rare disease or condition. With passage of the OBBBA, on July 3, 2025, which was signed into law on July 4, 2025, Congress extended this exemption to drugs and biologics with multiple orphan drug designations.</w:t>
      </w:r>
    </w:p>
    <w:p>
      <w:pPr>
        <w:spacing w:after="0" w:line="17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16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if they raise prices for certain Part B and Part D drugs faster than the rate of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17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fifteen drugs will become effective on January 1, 2027. On January 27, 2026, CMS published the list of fifteen drugs selected for the third cycle of negotiations. These negotiated prices will become effective on January 1, 2028.</w:t>
      </w:r>
    </w:p>
    <w:p>
      <w:pPr>
        <w:spacing w:after="0" w:line="163"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On June 6, 2023, Merck &amp; Co., Inc., filed a lawsuit against HHS and CMS asserting that, among other things, the IRA’s Drug Price Negotiation Program for Medicare constitutes an uncompensated taking in violation of the Fifth Amendment of the U.S. Constitution. Subsequently, other parties, including the U.S. Chamber of Commerce, or Chamber of Commerce, Bristol Myers Squibb Company, the PhRMA, Astellas Pharma US, Inc., Novo Nordisk Inc., Janssen Pharmaceuticals, Inc., Novartis Pharmaceutical Corporation, AstraZeneca L.P. and Boehringer Ingelheim Pharmaceuticals, Inc. also filed lawsuits in various courts with similar constitutional claims against HHS and CMS. Every court that has thus far considered substantive challenges to the Medicare drug price negotiation program has ruled against the pharmaceutical industry, dismissing both constitutional and statutory arguments. We expect that litigation involving these provisions of the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p>
      <w:pPr>
        <w:jc w:val="both"/>
        <w:ind w:right="300"/>
        <w:spacing w:after="0" w:line="247" w:lineRule="auto"/>
        <w:rPr>
          <w:sz w:val="20"/>
          <w:szCs w:val="20"/>
          <w:color w:val="auto"/>
        </w:rPr>
      </w:pPr>
      <w:r>
        <w:rPr>
          <w:rFonts w:ascii="Arial" w:cs="Arial" w:eastAsia="Arial" w:hAnsi="Arial"/>
          <w:sz w:val="18"/>
          <w:szCs w:val="18"/>
          <w:color w:val="auto"/>
        </w:rPr>
        <w:t>IRA will continue, with unpredictable and uncertain results. Accordingly, we cannot predict with certainty what impact any federal or state health reforms will have on us, but such changes could impose new or more stringent regulatory requirements on our activities or result in reduced reimbursement for our products, if approved, any of which could adversely affect our business, results of operations and financial condition.</w:t>
      </w:r>
    </w:p>
    <w:p>
      <w:pPr>
        <w:spacing w:after="0" w:line="16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Since adoption of the IRA, the Trump Administration has taken a number of actions to reduce the costs of pharmaceutical products. For example, on April 15, 2025, President Trump issued an Executive Order which directs HHS to take steps to reduce the prices of pharmaceutical products. Further, on May 12, 2025, President Trump issued an additional Executive Order calling on pharmaceutical manufacturers to voluntarily reduce the prices of medicines in the United States. The Order provides that if such actions do not lower the costs of pharmaceuticals, the Secretary of HHS would pursue other actions, including proposing a rulemaking that imposes most favored nation, or MFN, pricing in the United States. Thereafter, on July 31, 2025, the President issued letters to 17 pharmaceutical companies reiterating the requirements of the May 12, 2025 Executive Order and demanding that such companies extend MFN pricing to Medicaid patients. Virtually all of these pharmaceutical companies have entered into agreements with the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spacing w:after="0" w:line="16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Separately, on December 23, 2025, CMS, through its Center for Medicare and Medicaid Innovation, or CMMI, proposed two five-year pilot programs to implement a “reference pricing” regime for drugs paid for under Medicare for 25% of covered beneficiaries. The programs are referred to as the Global Benchmark for Efficient Drug Pricing Model for Medicare Part B drugs, or GLOBE, and the Guarding U.S. Medicare Against Rising Drug Costs for Medicare Part D drugs, or GUARD. Under the proposed pilot programs, a manufacturer would owe rebates to Medicare if prices for its drugs exceeded the prices paid by other economically comparable reference countries, defined in the proposed regulations as the Organisation for Economic Co-Operation and Development countries with a gross domestic product, or GDP, of $400 billion and a per capita GDP that is at least 60% of the U.S. per capita GDP (an initial list of 19 reference countries is included in the proposed rule). On September 20, 2026, CMS issued a final rule for the GLOBE model. On October 7, 2026, PhRMA filed a lawsuit in the U.S. District Court for the District of Columbia challenging and seeking declaratory and injunctive relief. The complaint asserts that CMS exceeded its authority under Section 1115A of the Social Security Act by using CMMI’s demonstration authority to impose a mandatory manufacturer rebate regime tied to international reference prices. Although we cannot predict whether, when, or to what extent any of our product candidates, if approved, would become subject to these or future pricing and reimbursement programs, such measures could reduce reimbursement for pharmaceutical products, place downward pressure on pricing, increase rebate, discount, or other payment obligations, limit commercial flexibility, and adversely affect demand for pharmaceutical products.</w:t>
      </w:r>
    </w:p>
    <w:p>
      <w:pPr>
        <w:spacing w:after="0" w:line="17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may develop or additional pricing pressures.</w:t>
      </w:r>
    </w:p>
    <w:p>
      <w:pPr>
        <w:spacing w:after="0" w:line="17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in some countries including those member states of the European Union,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we may be required to conduct a clinical trial or other studies that compare the cost-effectiveness of our product and/or our product candidates to other available products in order to obtain or maintain reimbursement or pricing approval. Publication of discounts by third party payors or government authorities may lead to further pressure on the prices or reimbursement levels. If reimbursement of our products, if any, is unavailable or limited in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1" w:name="page82"/>
    <w:bookmarkEnd w:id="81"/>
    <w:p>
      <w:pPr>
        <w:ind w:right="120"/>
        <w:spacing w:after="0" w:line="253" w:lineRule="auto"/>
        <w:rPr>
          <w:sz w:val="20"/>
          <w:szCs w:val="20"/>
          <w:color w:val="auto"/>
        </w:rPr>
      </w:pPr>
      <w:r>
        <w:rPr>
          <w:rFonts w:ascii="Arial" w:cs="Arial" w:eastAsia="Arial" w:hAnsi="Arial"/>
          <w:sz w:val="18"/>
          <w:szCs w:val="18"/>
          <w:color w:val="auto"/>
        </w:rPr>
        <w:t>scope or amount, or if pricing is set at unsatisfactory levels, the commercial launch of our product candidates may be delayed, possibly for lengthy periods of time, we or our collaborators may not launch at all in a particular country, we may not be able to recoup our investment in one or more product candidates, and there could be a material adverse effect on our business.</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6"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product candidates that we may identify, if we obtain regulatory approval;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and failure to comply with such requirements could subject us to significant fines and penalties, which may have a material adverse effect on our business, financial condition, results of operations or prospects.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data privacy and protection laws, regulations, policies and contractual obligations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European Union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spacing w:after="0" w:line="16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we are unable to properly protect the privacy and security of protected health information, we could be found to have violated these privacy and security laws and/or breached certain contracts. Further, if we fail to comply with applicable privacy laws, including applicable HIPAA privacy and security standards, we could face significant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67"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addition to potential enforcement by HHS, we are also potentially subject to privacy enforcement from the Federal Trade Commission, or the FTC.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FTC is also in the process of</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2" w:name="page83"/>
    <w:bookmarkEnd w:id="82"/>
    <w:p>
      <w:pPr>
        <w:spacing w:after="0" w:line="242" w:lineRule="auto"/>
        <w:rPr>
          <w:sz w:val="20"/>
          <w:szCs w:val="20"/>
          <w:color w:val="auto"/>
        </w:rPr>
      </w:pPr>
      <w:r>
        <w:rPr>
          <w:rFonts w:ascii="Arial" w:cs="Arial" w:eastAsia="Arial" w:hAnsi="Arial"/>
          <w:sz w:val="18"/>
          <w:szCs w:val="18"/>
          <w:color w:val="auto"/>
        </w:rPr>
        <w:t>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spacing w:after="0" w:line="1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DOJ recently finalized a rule implementing Executive Order 14117, which implements the DOJ’s Data Security Program, or DSP, and creates similar restrictions related to the transfer of sensitive U.S. data to countries such as China. Violations of the DSP can lead to both civil and criminal penalties, and it is unclear how aggressively the DOJ will enforce the new program. These data transfer restrictions (and others that may pass in the future) may create operational challenges and legal risks for our business.</w:t>
      </w:r>
    </w:p>
    <w:p>
      <w:pPr>
        <w:spacing w:after="0" w:line="16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States are also active in creating specific rules relating to the processing of personal information. 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which is further described below,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the sale of their personal information. The CCPA contains significant penalties for companies that violate its requirements.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and other California privacy laws, which will further increase compliance risk. The provisions in the CPRA may apply to some of our business activities.</w:t>
      </w:r>
    </w:p>
    <w:p>
      <w:pPr>
        <w:spacing w:after="0" w:line="17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addition to California, a number of other states have passed comprehensive privacy laws similar to the CCPA and CPRA. These laws are either in effect or will go into effect over the next few years. Like the CCPA and CPRA, these laws create obligations related to the processing of personal information, as well as special obligations for the processing of "sensitive" data, which includes health data in some cases.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16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or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3" w:name="page84"/>
    <w:bookmarkEnd w:id="83"/>
    <w:p>
      <w:pPr>
        <w:ind w:right="40"/>
        <w:spacing w:after="0" w:line="242" w:lineRule="auto"/>
        <w:rPr>
          <w:sz w:val="20"/>
          <w:szCs w:val="20"/>
          <w:color w:val="auto"/>
        </w:rPr>
      </w:pPr>
      <w:r>
        <w:rPr>
          <w:rFonts w:ascii="Arial" w:cs="Arial" w:eastAsia="Arial" w:hAnsi="Arial"/>
          <w:sz w:val="18"/>
          <w:szCs w:val="18"/>
          <w:color w:val="auto"/>
        </w:rPr>
        <w:t>The GDPR places restrictions on the cross-border transfer of personal data from the European Union to countries that have not been found by the European Union to offer adequate data protection legislation, such as the United States. There are ongoing concerns about the ability of companies to transfer personal data from the European Union to other countries. In July 2020, the Court of Justice of the European Union, or the CJEU, invalidated the EU-U.S. Privacy Shield,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the July 2020 Court of Justice of the European Union judgment invalidating the so-called EU-U.S. Privacy Shield, the European Commission adopted an adequacy decision for the EU-U.S. Data Privacy Framework in July 2023. This adequacy decision permits U.S. companies who self-certify under the EU-U.S. Data Privacy Framework to rely on it as a valid data transfer mechanism for data transfers from the European Union to the United States. However, some privacy advocacy groups have already suggested that they will be challenging the EU-U.S. Data Privacy Framework, and there is currently one pending litigation against the EU-U.S. Data Privacy Framework before the CJEU, C-703/25 P – </w:t>
      </w:r>
      <w:r>
        <w:rPr>
          <w:rFonts w:ascii="Arial" w:cs="Arial" w:eastAsia="Arial" w:hAnsi="Arial"/>
          <w:sz w:val="18"/>
          <w:szCs w:val="18"/>
          <w:i w:val="1"/>
          <w:iCs w:val="1"/>
          <w:color w:val="auto"/>
        </w:rPr>
        <w:t>Latombe v Commission</w:t>
      </w:r>
      <w:r>
        <w:rPr>
          <w:rFonts w:ascii="Arial" w:cs="Arial" w:eastAsia="Arial" w:hAnsi="Arial"/>
          <w:sz w:val="18"/>
          <w:szCs w:val="18"/>
          <w:color w:val="auto"/>
        </w:rPr>
        <w:t>. If these challenges are successful, they may not only impact the EU-U.S. Data Privacy Framework, but also further limit the viability of the so-called standard contractual clauses and other data transfer mechanisms.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Additionally, in October 2022, President Biden signed an executive order to implement the EU-U.S. Data Privacy Framework, which serves as a replacement to the EU-U.S. Privacy Shield. The European Union initiated the process to adopt an adequacy decision for the EU-U.S. Data Privacy Framework in December 2022, and the European Commission adopted the adequacy decision on July 10, 2023. The adequacy decision permits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w:t>
      </w:r>
    </w:p>
    <w:p>
      <w:pPr>
        <w:spacing w:after="0" w:line="16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Following the withdrawal of the United Kingdom from the European Union, the UK Data Protection Act 2018 applies to the processing of personal data that takes place in the United Kingdom and includes parallel obligations to those set forth by GDPR. In relation to data transfers, both the United Kingdom and the European Union have determined, through separate “adequacy” decisions, that data transfers between the two jurisdictions are in compliance with the UK Data Protection Act and the GDPR, respectively. The United Kingdom and the United States have also agreed to develop a U.S.-UK "Data Bridge", which functions similarly to the EU-U.S. Data Privacy Framework and provides an additional legal mechanism for companies to transfer data from the UK to the United States. In addition to the UK, Switzerland is also in the process of approving an adequacy decision in relation to the Swiss-U.S. Data Privacy Framework (which would function similarly to the EU-U.S. Data Privacy Framework and the U.S.-UK Data Bridge in relation to data transfers from Switzerland to the United States). Any changes or updates to these developments have the potential to impact our business.</w:t>
      </w:r>
    </w:p>
    <w:p>
      <w:pPr>
        <w:spacing w:after="0" w:line="170"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Beyond GDPR and similar laws in the United States, there are privacy and data security laws in a growing number of countries around the world. While many loosely follow GDPR as a model, other laws contain different or conflicting provisions. These laws may impact our ability to conduct our business activities.</w:t>
      </w:r>
    </w:p>
    <w:p>
      <w:pPr>
        <w:spacing w:after="0" w:line="1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which could adversely affect our business. We must devote significant resources to understanding and complying with this changing landscape. Failure to comply with federal, state and international laws regarding privacy and security of personal information could expose us to fines and penalties under such laws. Any such failure to comply with data protection and privacy laws could result in government-imposed fines, penalties or orders requiring that we change our practices, claims for damages or other liabilities, regulatory investigations and enforcement actions, litigation and significant costs for remediation, reputational harm, diminished profits and earnings, additional reporting requirements and/or oversight, any of which could adversely affect our business, our results of operations or prospects. We also face a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 financial condition, results of operations or prospects.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4" w:name="page85"/>
    <w:bookmarkEnd w:id="84"/>
    <w:p>
      <w:pPr>
        <w:ind w:right="700"/>
        <w:spacing w:after="0" w:line="278"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exposed to the risk of fraud or other misconduct by our employees, consultants, partners and the principal investigators in our clinical trials.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7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may preclude us from developing, manufacturing and selling certain product candidates outside of the United States or adversely impact our ability to operate our business outside the United States.</w:t>
      </w:r>
    </w:p>
    <w:p>
      <w:pPr>
        <w:spacing w:after="0" w:line="51"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15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the provision of money or anything of value, directly or indirectly through third parties, to any foreign official, official of a public international organization, or political party official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 is involved with enforcement of the books and records provisions of the FCPA.</w:t>
      </w:r>
    </w:p>
    <w:p>
      <w:pPr>
        <w:spacing w:after="0" w:line="16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Compliance with the FCPA and other anti-corruption laws potentially applicable to our business is expensive and difficult, particularly in countries in which corruption is a recognized problem. In addition, compliance with the FCPA and other anti-corruption laws presents particular challenges in the pharmaceutical industry, because, in many countries, hospitals are operated by the government, and doctors and other hospital employees are considered foreign officials.</w:t>
      </w:r>
    </w:p>
    <w:p>
      <w:pPr>
        <w:spacing w:after="0" w:line="16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Various U.S. export and sanctions laws, regulations and executive orders also restrict the use and dissemination outside of the United States, or the sharing with certain non-U.S. nationals, of certain products and technical data relating to those products. Furthermore, such export and sanctions laws include restrictions or prohibitions on the sale or supply of certain products and services to United States embargoed countries or sanctioned countries, governments, persons and entities. Our operations outside of the United States have required, and will continue to require, us to dedicate additional resources to comply with laws governing international business practices, and these laws may preclude us from developing, manufacturing or selling certain drugs and drug candidates outside of the United States, which could limit our growth potential and increase our development costs. The failure to comply with these laws may result in substantial penalties, including suspension or debarment from government contracting. Violation of the FCPA and export and sanctions laws can result in significant civil and criminal penalties, imprisonment, the loss of export or import privileges, debarment, breach of contract and fraud litigation, reputational harm, and other consequences.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85" w:name="page86"/>
    <w:bookmarkEnd w:id="85"/>
    <w:p>
      <w:pPr>
        <w:ind w:right="320"/>
        <w:spacing w:after="0" w:line="253" w:lineRule="auto"/>
        <w:rPr>
          <w:sz w:val="20"/>
          <w:szCs w:val="20"/>
          <w:color w:val="auto"/>
        </w:rPr>
      </w:pPr>
      <w:r>
        <w:rPr>
          <w:rFonts w:ascii="Arial" w:cs="Arial" w:eastAsia="Arial" w:hAnsi="Arial"/>
          <w:sz w:val="18"/>
          <w:szCs w:val="18"/>
          <w:color w:val="auto"/>
        </w:rPr>
        <w:t>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57" w:lineRule="exact"/>
        <w:rPr>
          <w:sz w:val="20"/>
          <w:szCs w:val="20"/>
          <w:color w:val="auto"/>
        </w:rPr>
      </w:pPr>
    </w:p>
    <w:p>
      <w:pPr>
        <w:ind w:right="780"/>
        <w:spacing w:after="0" w:line="278" w:lineRule="auto"/>
        <w:rPr>
          <w:sz w:val="20"/>
          <w:szCs w:val="20"/>
          <w:color w:val="auto"/>
        </w:rPr>
      </w:pPr>
      <w:r>
        <w:rPr>
          <w:rFonts w:ascii="Arial" w:cs="Arial" w:eastAsia="Arial" w:hAnsi="Arial"/>
          <w:sz w:val="18"/>
          <w:szCs w:val="18"/>
          <w:b w:val="1"/>
          <w:bCs w:val="1"/>
          <w:i w:val="1"/>
          <w:iCs w:val="1"/>
          <w:color w:val="auto"/>
        </w:rPr>
        <w:t>Changes in and uncertainty surrounding United States trade policy could have a material adverse impact on our business, financial condition and results of operations.</w:t>
      </w:r>
    </w:p>
    <w:p>
      <w:pPr>
        <w:spacing w:after="0" w:line="31"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Trump administration, in 2025, initiated a series of tariff-related actions against U.S. trading partners. In February 2026, the U.S. Supreme Court held that the International Emergency Economic Powers Act of 1977, or IEEPA, does not authorize the president to impose tariffs, invalidating both the “reciprocal” tariffs and certain country-specific tariffs previously imposed by executive orders. Following this decision, the U.S. Customs and Border Protection began refunding previously collected IEEPA duties through a phased administrative process, but the timing, scope and ultimate amount of any such refunds remain uncertain and subject to ongoing litigation.</w:t>
      </w:r>
    </w:p>
    <w:p>
      <w:pPr>
        <w:spacing w:after="0" w:line="6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President Trump subsequently invoked Section 122 of the Trade Act of 1974, or Section 122, to impose a 10% tariff, which could have been raised to 15%, on nearly all foreign imports. The Section 122 tariffs expired in July 2026. In addition, the U.S. Trade Representative has conducted two investigations under Section 301 of the Trade Act of 1974, or Section 301. In July 2026, in one such investigation, it imposed additional tariffs of 10% to 12.5% on products of sixty countries determined to have failed to impose and effectively enforce a prohibition on the importation of goods produced with forced labor. The second investigation into structural excess capacity and production in manufacturing sectors remains ongoing. As was the case under the IEEPA tariffs, certain pharmaceuticals and pharmaceutical ingredients were among the products exempt from the Section 122 tariffs, and the Section 301 tariffs related to forced labor.</w:t>
      </w:r>
    </w:p>
    <w:p>
      <w:pPr>
        <w:spacing w:after="0" w:line="17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Separately, in April 2025, the U.S.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w:t>
      </w:r>
    </w:p>
    <w:p>
      <w:pPr>
        <w:spacing w:after="0" w:line="16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Then, on April 2, 2026, President Trump issued a Proclamation invoking Section 232 of the Trade Expansion Act of 1962 to impose tariffs on imports of patented pharmaceuticals, biologics, and associated ingredients into the United States. The action affects pharmaceutical manufacturers, importers, and supply chain participants. Specifically, the Proclamation imposes a 100% tariff on pharmaceutical articles classified in certain 10-digit harmonized tariff schedule, or HTS, codes that are subject to a valid, unexpired U.S. patent and are listed in the FDA’s Approved Drug Products with Therapeutic Equivalence Evaluations, or the Orange Book, or are listed in the FDA’s Lists of Licensed Biological Products, or the Purple Book, unless a relevant exemption applies. The 100% tariff also applies to active pharmaceutical ingredients, or APIs, and key starting materials for such articles. For companies like ours that are not listed in the Annexes to the Proclamation (i.e., those that have not concluded qualifying onshoring plans and MFN pharmaceutical pricing agreements with the U.S. Government), these tariffs went into effect on September 29, 2026. Preferential tariff rates are provided for several categories of imports of covered pharmaceuticals. For example, covered pharmaceuticals from Japan, the EU, Korea, Switzerland, Liechtenstein and the UK are eligible for lower tariff rates. Generic pharmaceuticals, biosimilars, and products classified under certain HTS codes listed in Annex IV of the Proclamation are subject to a zero percent additional tariff. Certain categories of products are also eligible for a zero percent additional tariff rate under the Proclamation, which include drugs and associated ingredients for which all approved indications are designated as orphan pursuant to the Orphan Drug Act; nuclear medicines; plasma-derived therapies; fertility drugs; cell therapy and gene therapy products; antibody drug conjugates; medical countermeasures related to chemical, biological, radiological, and nuclear threats; and animal health products. However, these products are eligible for this preferential tariff rate only if they are products of one of nineteen jurisdictions that have a current or forthcoming trade and security framework agreement with the United States (currently including the European Union, Japan, South Korea, Switzerland and Liechtenstein, Taiwan, and the United Kingdom), or if the U.S. Department of Commerce determines, on a company-specific basis following an application, that the product meets an urgent U.S. health need. U.S. origin pharmaceuticals are not subject to the Section 232 tariffs.</w:t>
      </w:r>
    </w:p>
    <w:p>
      <w:pPr>
        <w:spacing w:after="0" w:line="18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Additionally, certain national security laws may impact our ability to conduct business in certain countries or with certain international counterparties. For example, in December 2025, the BIOSECURE Act was signed into law, which among other things places certain restrictions on government agencies working with certain biotechnology companies of concern. The BIOSECURE Act does not name specific companies but treats any company on the Department of Defense/War 1260H list of “Chinese military companies” as a biotechnology company of concern. On June 8, 2026, the Department of Defense/War released an updated version of the 1260H list, which included one of our contract development and manufacturing organizations, or CDMOs. Shortly thereafter, on June 11, 2026, a suit challenging that designation as unlawful was filed. On August 7, 2026, the U.S. District Court for the District of Columbia granted a preliminary injunction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6" w:name="page87"/>
    <w:bookmarkEnd w:id="86"/>
    <w:p>
      <w:pPr>
        <w:ind w:right="40"/>
        <w:spacing w:after="0" w:line="242" w:lineRule="auto"/>
        <w:rPr>
          <w:sz w:val="20"/>
          <w:szCs w:val="20"/>
          <w:color w:val="auto"/>
        </w:rPr>
      </w:pPr>
      <w:r>
        <w:rPr>
          <w:rFonts w:ascii="Arial" w:cs="Arial" w:eastAsia="Arial" w:hAnsi="Arial"/>
          <w:sz w:val="18"/>
          <w:szCs w:val="18"/>
          <w:color w:val="auto"/>
        </w:rPr>
        <w:t>prohibiting enforcement of the designation, finding that the company had demonstrated a likelihood of success on its claim that the designation was arbitrary and capricious. The litigation remains ongoing, and while the injunction provides interim relief from the designation, there can be no assurance regarding the ultimate outcome of the case or the potential impact of future governmental actions relating to national security, procurement, supply chain, or biotechnology-related restrictions. We continue to evolve our supply chain and ultimately do not expect the outcome of this ongoing litigation to impact our business. Nonetheless, it is possible that other companies involved in our supply chain could be designated in the future.</w:t>
      </w:r>
    </w:p>
    <w:p>
      <w:pPr>
        <w:spacing w:after="0" w:line="16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 a result of changes in tariffs that have been announced and/or implemented, and the underlying uncertainty currently surrounding international trade, we could experience a negative impact on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the outcome of ongoing litigation challenging recently imposed tariffs, or the terms of any renegotiated trade agreements and their impact on our business.</w:t>
      </w:r>
    </w:p>
    <w:p>
      <w:pPr>
        <w:spacing w:after="0" w:line="185" w:lineRule="exact"/>
        <w:rPr>
          <w:sz w:val="20"/>
          <w:szCs w:val="20"/>
          <w:color w:val="auto"/>
        </w:rPr>
      </w:pPr>
    </w:p>
    <w:p>
      <w:pPr>
        <w:ind w:right="640"/>
        <w:spacing w:after="0" w:line="278"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significant costs.</w:t>
      </w:r>
    </w:p>
    <w:p>
      <w:pPr>
        <w:spacing w:after="0" w:line="3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also could incur significant costs associated with civil or criminal fines and penalties.</w:t>
      </w:r>
    </w:p>
    <w:p>
      <w:pPr>
        <w:spacing w:after="0" w:line="17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in turn have a material adverse effect on our business, financial condition, results of operations and prospects.</w:t>
      </w:r>
    </w:p>
    <w:p>
      <w:pPr>
        <w:spacing w:after="0" w:line="173"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b w:val="1"/>
          <w:bCs w:val="1"/>
          <w:i w:val="1"/>
          <w:iCs w:val="1"/>
          <w:color w:val="auto"/>
        </w:rPr>
        <w:t>Disruptions at the FDA and other government agencies from funding cuts, personnel losses, regulatory reforms, government shutdowns and other developments could hinder our ability to obtain guidance from the FDA regarding our clinical development programs and develop and secure approval of our product candidates in a timely manner, which would negatively impact our business.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7" w:name="page88"/>
    <w:bookmarkEnd w:id="87"/>
    <w:p>
      <w:pPr>
        <w:ind w:right="160"/>
        <w:spacing w:after="0" w:line="244" w:lineRule="auto"/>
        <w:rPr>
          <w:sz w:val="20"/>
          <w:szCs w:val="20"/>
          <w:color w:val="auto"/>
        </w:rPr>
      </w:pPr>
      <w:r>
        <w:rPr>
          <w:rFonts w:ascii="Arial" w:cs="Arial" w:eastAsia="Arial" w:hAnsi="Arial"/>
          <w:sz w:val="18"/>
          <w:szCs w:val="18"/>
          <w:color w:val="auto"/>
        </w:rPr>
        <w:t>The FDA and comparable regulatory agencies in foreign jurisdictions, such as the EMA and CHMP,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example, the recent loss and retirement of FDA leadership and personnel could lead to disruptions and delays in FDA guidance, review and approval of our product candidates. Pursuant to President Trump's executive order 14210, “Implementing the President’s ‘Department of Government Efficiency’ Workforce Optimization Initiative,” the Secretary of HHS announced on March 27, 2025, a reorganization and Reduction in Force, or RIF, across HHS of approximately 20,000 employees (82,000 to 62,000), with the FDA’s workforce of approximately 20,000 to decrease by 3,500 full-time employees. Subsequently, the FDA indicated that roughly a quarter of those employees who received RIF notices had been reinstated. On July 14, 2025, following litigation reaching the U.S. Supreme Court, the administration began to carry out these layoffs across HHS, including the FDA. In November 2025, a Congressional Continuing Resolution ended the government shutdown, providing full-year funding for the FDA for the 2026 fiscal year through September 30, 2026 at approximately $7 billion with a slight increase in user fees for drug and device companies.</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While the FDA’s review of marketing applications and other activities for new drugs and biologics is largely funded through the user fee program established under PDUFA it remains unclear how the administration’s RIF and budget cuts will impact this program and the ability of the FDA to provide guidance and review our product candidates in a timely manner. For example, while the FDA’s RIF did not reportedly specifically target FDA reviewers, many operations, administrative and policy staff that help support such reviews were affected and those losses could lead to delays in PDUFA reviews and related activities. There has been at least one report in which the FDA failed to meet a PDUFA goal date for approval of an NDA due to heavy workload and limited resources. In addition, while currently unclear, there is a risk that the RIF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p>
    <w:p>
      <w:pPr>
        <w:spacing w:after="0" w:line="18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President Trump has issued a number of executive orders that could have a significant impact on the manner in which the FDA conducts its operations and engages in regulatory and oversight activities. These include executive order 14192, “Unleashing Prosperity Through Deregulation,” January 31, 2025; executive order 14212, “Establishing the President’s Make America Healthy Again Commission,” February 13, 2025; and executive order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w:t>
      </w:r>
    </w:p>
    <w:p>
      <w:pPr>
        <w:spacing w:after="0" w:line="18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Similarly, actions by the U.S. government have significantly disrupted the operations of U.S. government agencies such as the National Institutes of Health, National Science Foundation, Centers for Disease Control and Prevention, and the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189" w:lineRule="exact"/>
        <w:rPr>
          <w:sz w:val="20"/>
          <w:szCs w:val="20"/>
          <w:color w:val="auto"/>
        </w:rPr>
      </w:pPr>
    </w:p>
    <w:p>
      <w:pPr>
        <w:jc w:val="both"/>
        <w:ind w:right="460"/>
        <w:spacing w:after="0" w:line="253"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 Over the last several years, the U.S. government has shut down several times and certain regulatory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8" w:name="page89"/>
    <w:bookmarkEnd w:id="88"/>
    <w:p>
      <w:pPr>
        <w:spacing w:after="0" w:line="253" w:lineRule="auto"/>
        <w:rPr>
          <w:sz w:val="20"/>
          <w:szCs w:val="20"/>
          <w:color w:val="auto"/>
        </w:rPr>
      </w:pPr>
      <w:r>
        <w:rPr>
          <w:rFonts w:ascii="Arial" w:cs="Arial" w:eastAsia="Arial" w:hAnsi="Arial"/>
          <w:sz w:val="18"/>
          <w:szCs w:val="18"/>
          <w:color w:val="auto"/>
        </w:rPr>
        <w:t>agencies, such as the FDA and the SEC, have had to furlough critical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p>
    <w:p>
      <w:pPr>
        <w:spacing w:after="0" w:line="16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For example, the federal government shut down on October 1, 2025. With the shutdown, the FDA issued a public notice stating that agency operations would continue to the extent permitted by law, such as activities necessary to address imminent threats to the safety of human life and activities funded by carryover user fee funds. At the same time, the FDA declared that, during the shutdown period, it does not have legal authority to accept user fees assessed for fiscal year 2026 until an appropriation or continuing resolution for the FDA is enacted for such fiscal year. As a result, the FDA will not be able to accept any regulatory submissions for fiscal year 2026 that require a fee payment and that are submitted during the lapse period.</w:t>
      </w:r>
    </w:p>
    <w:p>
      <w:pPr>
        <w:spacing w:after="0" w:line="17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179"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Accordingly, if any of the foregoing developments or others impact the ability of the FDA to provide us with guidance regarding our clinical development programs or delay the FDA’s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operational matters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0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For example, in 2024 and 2025, we had several changes in our executive management team.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6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71" w:lineRule="exact"/>
        <w:rPr>
          <w:sz w:val="20"/>
          <w:szCs w:val="20"/>
          <w:color w:val="auto"/>
        </w:rPr>
      </w:pPr>
    </w:p>
    <w:p>
      <w:pPr>
        <w:ind w:right="480"/>
        <w:spacing w:after="0" w:line="309"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As of September 30, 2026, we had 322 full-time employees. As our development progresses, we expect to experience significant growth in the number of our employees and the scope of our operations, particularly in the areas of drug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9" w:name="page90"/>
    <w:bookmarkEnd w:id="89"/>
    <w:p>
      <w:pPr>
        <w:ind w:right="380"/>
        <w:spacing w:after="0"/>
        <w:rPr>
          <w:sz w:val="20"/>
          <w:szCs w:val="20"/>
          <w:color w:val="auto"/>
        </w:rPr>
      </w:pPr>
      <w:r>
        <w:rPr>
          <w:rFonts w:ascii="Arial" w:cs="Arial" w:eastAsia="Arial" w:hAnsi="Arial"/>
          <w:sz w:val="18"/>
          <w:szCs w:val="18"/>
          <w:color w:val="auto"/>
        </w:rPr>
        <w:t>development, clinical, regulatory affairs and, if any product candidate we may develop receives marketing approval, sales, marketing, distribution and coverage and reimbursement capabilities.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7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or strategic alliances could disrupt our business and harm our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may acquire businesses, technologies or assets,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or product candidates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77"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coordination of research and development efforts;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from the acquired company;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relationships with collaborators as a result of product acquisitions or strategic positioning resulting from the acquisition;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6" w:lineRule="exact"/>
        <w:rPr>
          <w:rFonts w:ascii="Times New Roman" w:cs="Times New Roman" w:eastAsia="Times New Roman" w:hAnsi="Times New Roman"/>
          <w:sz w:val="18"/>
          <w:szCs w:val="18"/>
          <w:color w:val="auto"/>
        </w:rPr>
      </w:pPr>
    </w:p>
    <w:p>
      <w:pPr>
        <w:ind w:left="760" w:right="420" w:hanging="378"/>
        <w:spacing w:after="0" w:line="270" w:lineRule="auto"/>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46"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unanticipated write-offs or charges; and</w:t>
      </w:r>
    </w:p>
    <w:p>
      <w:pPr>
        <w:spacing w:after="0" w:line="116" w:lineRule="exact"/>
        <w:rPr>
          <w:rFonts w:ascii="Times New Roman" w:cs="Times New Roman" w:eastAsia="Times New Roman" w:hAnsi="Times New Roman"/>
          <w:sz w:val="18"/>
          <w:szCs w:val="18"/>
          <w:color w:val="auto"/>
        </w:rPr>
      </w:pPr>
    </w:p>
    <w:p>
      <w:pPr>
        <w:ind w:left="760" w:right="100" w:hanging="378"/>
        <w:spacing w:after="0" w:line="270" w:lineRule="auto"/>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4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failure to address these risks or other problems encountered in connection with any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0" w:name="page91"/>
    <w:bookmarkEnd w:id="90"/>
    <w:p>
      <w:pPr>
        <w:ind w:right="120"/>
        <w:spacing w:after="0" w:line="271" w:lineRule="auto"/>
        <w:rPr>
          <w:sz w:val="20"/>
          <w:szCs w:val="20"/>
          <w:color w:val="auto"/>
        </w:rPr>
      </w:pPr>
      <w:r>
        <w:rPr>
          <w:rFonts w:ascii="Arial" w:cs="Arial" w:eastAsia="Arial" w:hAnsi="Arial"/>
          <w:sz w:val="18"/>
          <w:szCs w:val="18"/>
          <w:color w:val="auto"/>
        </w:rPr>
        <w:t>contingent liabilities, amortization expenses or incremental operating expenses, any of which could harm our financial condition or results of operations.</w:t>
      </w:r>
    </w:p>
    <w:p>
      <w:pPr>
        <w:spacing w:after="0" w:line="142"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vendors, collaborators or other contractors or consultants, may fail or suffer security breaches, loss or leakage of data and other disruptions or compromise,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affecting our business and financial results.</w:t>
      </w:r>
    </w:p>
    <w:p>
      <w:pPr>
        <w:spacing w:after="0" w:line="6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and our vendors, collaborators or other contractors or consultants, do so in a secure manner to maintain the availability, security, confidentiality, privacy and integrity of such confidential information.</w:t>
      </w:r>
    </w:p>
    <w:p>
      <w:pPr>
        <w:spacing w:after="0" w:line="16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Despite the implementation of security measures, given the size and complexity of our internal information technology systems and those of our current and any future vendors, collaborators and other contractors and consultants, and the increasing amounts of confidential information that they maintain, such information technology systems are vulnerable to damage or interruption from computer viruses, computer hackers, malicious code, employee error, theft or misuse, denial-of-service attacks, sophisticated nation-state and nation-state-supported actors, unauthorized access, natural disasters, terrorism, war, telecommunication and electrical failures or other compromise.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17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Although we seek to protect our information technology systems from system failure, accident and security breach, our efforts may not be successful. If such an event were to occur, it could result in a disruption of our development programs and our business operations, whether due to a loss of our trade secrets or other proprietary or confidential information or other disruptions. For example, the loss of clinical trial data could result in delays in our regulatory approval efforts and significantly increase our costs to recover or reproduce the data. If we were to experience a significant cybersecurity breach of our information systems or data, the costs associated with the investigation, remediation and potential notification of the breach to counterparties, data subjects, regulators or others could be material. In addition, our remediation efforts may not be successful. Moreover, if the information technology systems of our vendors, collaborators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To the extent that any disruption or security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and reputation could be harmed and the further development and commercialization of our product candidates could be delayed. As a result of such an event, we may be in breach of our contractual obligations. Furthermore,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 Any of the above could have a material adverse effect on our business, financial condition, results of operations or prospects.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1" w:name="page92"/>
    <w:bookmarkEnd w:id="91"/>
    <w:p>
      <w:pPr>
        <w:ind w:right="40"/>
        <w:spacing w:after="0" w:line="244" w:lineRule="auto"/>
        <w:rPr>
          <w:sz w:val="20"/>
          <w:szCs w:val="20"/>
          <w:color w:val="auto"/>
        </w:rPr>
      </w:pPr>
      <w:r>
        <w:rPr>
          <w:rFonts w:ascii="Arial" w:cs="Arial" w:eastAsia="Arial" w:hAnsi="Arial"/>
          <w:sz w:val="18"/>
          <w:szCs w:val="18"/>
          <w:color w:val="auto"/>
        </w:rPr>
        <w:t>The financial exposure from the events referenced above could either not be insured against or not be fully covered through any insurance that we maintain and could have a material adverse effect on our business, financial condition, results of operations or 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spacing w:after="0" w:line="165"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Our operations or those of the third parties upon whom we depend might be affected by the occurrence of a natural disaster, pandemic or other catastrophic event.</w:t>
      </w:r>
    </w:p>
    <w:p>
      <w:pPr>
        <w:spacing w:after="0" w:line="3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depend on our employees, consultants, CMOs and CROs, as well as regulatory agencies and other parties, for the continued operation of our business. Although we maintain disaster recovery plans, they might not adequately protect us. Despite any precautions we take for natural disasters or other catastrophic events, these events, including terrorist attack, pandemics,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ongoing conflicts between Russia and Ukraine, in Venezuela, and in the Middle East, the escalation of hostilities and acts of terrorism or other ‘‘acts of God,’’ particularly involving cities in which we have offices, manufacturing or clinical trial sites, could adversely affect our businesses.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CMOs or CROs, regulatory agencies or other parties with which we are engaged could have a significant negative impact on our operations and financial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200" w:lineRule="exact"/>
        <w:rPr>
          <w:sz w:val="20"/>
          <w:szCs w:val="20"/>
          <w:color w:val="auto"/>
        </w:rPr>
      </w:pPr>
    </w:p>
    <w:p>
      <w:pPr>
        <w:ind w:right="1140"/>
        <w:spacing w:after="0" w:line="278" w:lineRule="auto"/>
        <w:rPr>
          <w:sz w:val="20"/>
          <w:szCs w:val="20"/>
          <w:color w:val="auto"/>
        </w:rPr>
      </w:pPr>
      <w:r>
        <w:rPr>
          <w:rFonts w:ascii="Arial" w:cs="Arial" w:eastAsia="Arial" w:hAnsi="Arial"/>
          <w:sz w:val="18"/>
          <w:szCs w:val="18"/>
          <w:b w:val="1"/>
          <w:bCs w:val="1"/>
          <w:i w:val="1"/>
          <w:iCs w:val="1"/>
          <w:color w:val="auto"/>
        </w:rPr>
        <w:t>The price of our common stock is volatile and fluctuates substantially, which could result in substantial losses for our stockholders.</w:t>
      </w:r>
    </w:p>
    <w:p>
      <w:pPr>
        <w:spacing w:after="0" w:line="3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smaller biopharmaceutical companies in particular, have experienced extreme price volatility and volume fluctuations that have often been unrelated to the operating performance of particular companies. As a result of this volatility, our stockholders may not be able to sell their common stock at or above the price they paid for their shares. The market price for our common stock may be influenced by many factors, including:</w:t>
      </w:r>
    </w:p>
    <w:p>
      <w:pPr>
        <w:spacing w:after="0" w:line="66" w:lineRule="exact"/>
        <w:rPr>
          <w:sz w:val="20"/>
          <w:szCs w:val="20"/>
          <w:color w:val="auto"/>
        </w:rPr>
      </w:pPr>
    </w:p>
    <w:p>
      <w:pPr>
        <w:ind w:left="760" w:hanging="378"/>
        <w:spacing w:after="0" w:line="270" w:lineRule="auto"/>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timing and results of, or developments in, preclinical studies and clinical trials of any product candidates we may develop or those of our competitors or potential collaborators;</w:t>
      </w:r>
    </w:p>
    <w:p>
      <w:pPr>
        <w:spacing w:after="0" w:line="46" w:lineRule="exact"/>
        <w:rPr>
          <w:rFonts w:ascii="Times New Roman" w:cs="Times New Roman" w:eastAsia="Times New Roman" w:hAnsi="Times New Roman"/>
          <w:sz w:val="18"/>
          <w:szCs w:val="18"/>
          <w:color w:val="auto"/>
        </w:rPr>
      </w:pPr>
    </w:p>
    <w:p>
      <w:pPr>
        <w:ind w:left="760" w:right="380" w:hanging="378"/>
        <w:spacing w:after="0" w:line="270" w:lineRule="auto"/>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adverse regulatory decisions, including failure to receive clearance to initiate clinical trials or obtain marketing approvals for any product candidates we may develop;</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in commercializing any product candidates that may be approved;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competitive products or technologies;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product candidates we may develop;</w:t>
      </w:r>
    </w:p>
    <w:p>
      <w:pPr>
        <w:spacing w:after="0" w:line="116" w:lineRule="exact"/>
        <w:rPr>
          <w:rFonts w:ascii="Times New Roman" w:cs="Times New Roman" w:eastAsia="Times New Roman" w:hAnsi="Times New Roman"/>
          <w:sz w:val="18"/>
          <w:szCs w:val="18"/>
          <w:color w:val="auto"/>
        </w:rPr>
      </w:pPr>
    </w:p>
    <w:p>
      <w:pPr>
        <w:ind w:left="760" w:right="200" w:hanging="378"/>
        <w:spacing w:after="0" w:line="252" w:lineRule="auto"/>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62" w:lineRule="exact"/>
        <w:rPr>
          <w:rFonts w:ascii="Times New Roman" w:cs="Times New Roman" w:eastAsia="Times New Roman" w:hAnsi="Times New Roman"/>
          <w:sz w:val="18"/>
          <w:szCs w:val="18"/>
          <w:color w:val="auto"/>
        </w:rPr>
      </w:pPr>
    </w:p>
    <w:p>
      <w:pPr>
        <w:ind w:left="760" w:right="460" w:hanging="378"/>
        <w:spacing w:after="0" w:line="270" w:lineRule="auto"/>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our financial results, development timelines or recommendations by securities analysts;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executive officers, directors or principal stockholders or others;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2" w:name="page93"/>
    <w:bookmarkEnd w:id="92"/>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political and market conditions;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“Risk Factors” section.</w:t>
      </w:r>
    </w:p>
    <w:p>
      <w:pPr>
        <w:spacing w:after="0" w:line="211"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w:t>
      </w:r>
    </w:p>
    <w:p>
      <w:pPr>
        <w:spacing w:after="0" w:line="16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have control over these analysts. There can be no assurance that existing analysts will continue to cover us or that new analysts will begin to cover us. There is also no assurance that any covering analysts will provide favorable coverage. If one or more of the analysts covering our business downgrade their evaluations of our stock or publish inaccurate or unfavorable research about our business, or provide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173" w:lineRule="exact"/>
        <w:rPr>
          <w:sz w:val="20"/>
          <w:szCs w:val="20"/>
          <w:color w:val="auto"/>
        </w:rPr>
      </w:pPr>
    </w:p>
    <w:p>
      <w:pPr>
        <w:ind w:right="680"/>
        <w:spacing w:after="0" w:line="278"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stock price and results of operations.</w:t>
      </w:r>
    </w:p>
    <w:p>
      <w:pPr>
        <w:spacing w:after="0" w:line="3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2008 global financial crisis caused extreme volatility and disruptions in the capital and credit markets. A severe or prolonged economic downturn resulting from a pandemic, such as the COVID-19 pandemic, could result in a variety of risks to our business, including weakened demand for any product candidates we may develop. A weak or declining economy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68"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Our executive officers and directors and their affiliates, if they choose to act together, have the ability to significantly influence all matters submitted to stockholders for approval.</w:t>
      </w:r>
    </w:p>
    <w:p>
      <w:pPr>
        <w:spacing w:after="0" w:line="3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executive officers and directors and their affiliates, in the aggregate, beneficially owned shares representing approximately 5.0% of our common stock as of September 30, 2026. As a result, if these stockholders were to choose to act together, they would be able to significantly influence all matters submitted to our stockholders for approval, as well as our management and affairs, even though some of these persons or entities may have interests different than yours. For example, these stockholders, if they choose to act together, could significantly influence the election of directors and approval of any merger, consolidation or sale of all or substantially all of our assets.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This concentration of ownership may:</w:t>
      </w:r>
    </w:p>
    <w:p>
      <w:pPr>
        <w:spacing w:after="0" w:line="104" w:lineRule="exact"/>
        <w:rPr>
          <w:sz w:val="20"/>
          <w:szCs w:val="20"/>
          <w:color w:val="auto"/>
        </w:rPr>
      </w:pPr>
    </w:p>
    <w:p>
      <w:pPr>
        <w:ind w:left="760" w:right="860" w:hanging="378"/>
        <w:spacing w:after="0" w:line="270"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delay, defer or prevent a merger, consolidation or sale of all or substantially all of our assets that may be desired by other stockholders;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delay, defer or prevent a change in control transaction involving us that other stockholders may desire;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entrench our management and board of directors.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cash equivalents and marketable securities and may not use them effectively.</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management has broad discretion in the application of our cash, cash equivalents and marketable securities and could use such funds in ways that do not improve our results of operations or enhance the value of our common stock or in ways that our stockholders may not agree with. The failure by our management to apply these funds effectively could result in financial losses that could cause the price of our common stock to decline and delay the development of our product candidates. Pending their use, we may invest these funds in a manner that does not produce income or that loses value.</w:t>
      </w:r>
    </w:p>
    <w:p>
      <w:pPr>
        <w:spacing w:after="0" w:line="16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3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our Loan Agreement with Hercules preclude us from paying dividends without the lender's consent or at all. As a result, capital appreciation, if any, of our common stock will be the sole source of gain for our stockholders for the foreseeable future.</w:t>
      </w:r>
    </w:p>
    <w:p>
      <w:pPr>
        <w:spacing w:after="0" w:line="162"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drop significantly, even if our business is doing well.</w:t>
      </w:r>
    </w:p>
    <w:p>
      <w:pPr>
        <w:spacing w:after="0" w:line="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or impair our ability to raise capital through the sale of equity securities in the future. As of October 30, 2026, we had 187,386,963 shares of common stock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All of our outstanding shares of common stock are available for sale in the public market, subject to applicable securities laws.</w:t>
      </w:r>
    </w:p>
    <w:p>
      <w:pPr>
        <w:spacing w:after="0" w:line="19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Moreover, holders of a substantial number of shares of our common stock and shares of our common stock issuable upon exercise of outstanding options have rights, subject to specified conditions, to require us to file registration statements covering their shares or to include their shares in registration statements that we may file for ourselves or other stockholders. We have also filed registration statements on Form S-8 to register all of the shares of common stock that we are able to issue under our equity compensation plans. Shares registered under these registration statements on Form S-8 can be freely sold in the public market upon issuance, subject to volume limitations applicable to affiliates, vesting arrangements and exercise of options.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has devoted and will continue to be required to devote substantial time to new compliance initiatives and corporate governance practices.</w:t>
      </w:r>
    </w:p>
    <w:p>
      <w:pPr>
        <w:spacing w:after="0" w:line="14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a public company, and particularly as we are no longer an emerging growth company, or EGC, or a smaller reporting company, or SRC, we will incur significant legal, accounting and other expenses that we did not previously incur as a private company or as an EGC and SRC.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As a result of no longer being able to take advantage of the exemptions from various reporting requirements that are applicable to EGCs and SRCs, we are required to comply with auditor attestation requirements, increased disclosure obligations and other reporting requirements which will likely increase our costs in the upcoming fiscal year. Our management and other personnel devote and will need to continue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compared to when we were a private company. For example, as a public company it is more difficult and more expensive for us to obtain director and officer liability insurance, and we may be forced to accept reduced policy limits and coverage or incur substantial costs. The impact of these events could also make it more difficult for us to attract and retain qualified members of our board of directors.</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cannot predict or estimate the amount of costs we may incur to continue to operate as a public company, nor can we predict the timing of such costs. These rules and regulations are often subject to varying interpretations, in many cases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94" w:name="page95"/>
    <w:bookmarkEnd w:id="94"/>
    <w:p>
      <w:pPr>
        <w:ind w:right="200"/>
        <w:spacing w:after="0" w:line="253" w:lineRule="auto"/>
        <w:rPr>
          <w:sz w:val="20"/>
          <w:szCs w:val="20"/>
          <w:color w:val="auto"/>
        </w:rPr>
      </w:pPr>
      <w:r>
        <w:rPr>
          <w:rFonts w:ascii="Arial" w:cs="Arial" w:eastAsia="Arial" w:hAnsi="Arial"/>
          <w:sz w:val="18"/>
          <w:szCs w:val="18"/>
          <w:color w:val="auto"/>
        </w:rPr>
        <w:t>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and our independent registered public accounting firm is required to attest to the effectiveness of our internal control over financial reporting. If we have an unremediated material weakness, we would receive an adverse opinion regarding our internal control over financial reporting from our independent registered public accounting firm. We are engaged in a continuous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5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16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Our independent registered public accounting firm is required to attest to the effectiveness of our internal control over financial reporting pursuant to Section 404.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stock.</w:t>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5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7"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5" w:name="page96"/>
    <w:bookmarkEnd w:id="95"/>
    <w:p>
      <w:pPr>
        <w:ind w:left="760" w:right="160" w:hanging="378"/>
        <w:spacing w:after="0" w:line="270" w:lineRule="auto"/>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46" w:lineRule="exact"/>
        <w:rPr>
          <w:rFonts w:ascii="Times New Roman" w:cs="Times New Roman" w:eastAsia="Times New Roman" w:hAnsi="Times New Roman"/>
          <w:sz w:val="18"/>
          <w:szCs w:val="18"/>
          <w:color w:val="auto"/>
        </w:rPr>
      </w:pPr>
    </w:p>
    <w:p>
      <w:pPr>
        <w:ind w:left="760" w:right="240" w:hanging="378"/>
        <w:spacing w:after="0" w:line="270" w:lineRule="auto"/>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limit who may call stockholder meetings;</w:t>
      </w:r>
    </w:p>
    <w:p>
      <w:pPr>
        <w:spacing w:after="0" w:line="116" w:lineRule="exact"/>
        <w:rPr>
          <w:rFonts w:ascii="Times New Roman" w:cs="Times New Roman" w:eastAsia="Times New Roman" w:hAnsi="Times New Roman"/>
          <w:sz w:val="18"/>
          <w:szCs w:val="18"/>
          <w:color w:val="auto"/>
        </w:rPr>
      </w:pPr>
    </w:p>
    <w:p>
      <w:pPr>
        <w:ind w:left="760" w:right="20" w:hanging="378"/>
        <w:spacing w:after="0" w:line="252" w:lineRule="auto"/>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2" w:lineRule="exact"/>
        <w:rPr>
          <w:rFonts w:ascii="Times New Roman" w:cs="Times New Roman" w:eastAsia="Times New Roman" w:hAnsi="Times New Roman"/>
          <w:sz w:val="18"/>
          <w:szCs w:val="18"/>
          <w:color w:val="auto"/>
        </w:rPr>
      </w:pPr>
    </w:p>
    <w:p>
      <w:pPr>
        <w:ind w:left="760" w:right="40" w:hanging="378"/>
        <w:spacing w:after="0" w:line="270" w:lineRule="auto"/>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4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6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Our restated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w:t>
      </w:r>
    </w:p>
    <w:p>
      <w:pPr>
        <w:spacing w:after="0" w:line="5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the following types of actions or proceedings under Delaware statutory or common law:</w:t>
      </w:r>
    </w:p>
    <w:p>
      <w:pPr>
        <w:spacing w:after="0" w:line="66"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760" w:right="260" w:hanging="378"/>
        <w:spacing w:after="0" w:line="270" w:lineRule="auto"/>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a fiduciary duty owed by any of our directors, officers, employees or stockholders to our company or our stockholders;</w:t>
      </w:r>
    </w:p>
    <w:p>
      <w:pPr>
        <w:spacing w:after="0" w:line="46" w:lineRule="exact"/>
        <w:rPr>
          <w:rFonts w:ascii="Times New Roman" w:cs="Times New Roman" w:eastAsia="Times New Roman" w:hAnsi="Times New Roman"/>
          <w:sz w:val="18"/>
          <w:szCs w:val="18"/>
          <w:color w:val="auto"/>
        </w:rPr>
      </w:pPr>
    </w:p>
    <w:p>
      <w:pPr>
        <w:ind w:left="760" w:right="480" w:hanging="378"/>
        <w:spacing w:after="0" w:line="270" w:lineRule="auto"/>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arising pursuant to any provision of the DGCL or as to which the DGCL confers jurisdiction on the Court of Chancery of the State of Delaware; or</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arising pursuant to any provision of our certificate of incorporation or bylaws (in each case, as they may be amended from time to time) or governed by the internal affairs doctrine.</w:t>
      </w:r>
    </w:p>
    <w:p>
      <w:pPr>
        <w:spacing w:after="0" w:line="14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These choice of forum provisions will not apply to suits brought to enforce a duty or liability created by the Exchange Act. Furthermore, Section 22 of the Securities Act of 1933,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2" w:lineRule="exact"/>
        <w:rPr>
          <w:sz w:val="20"/>
          <w:szCs w:val="20"/>
          <w:color w:val="auto"/>
        </w:rPr>
      </w:pPr>
    </w:p>
    <w:p>
      <w:pPr>
        <w:jc w:val="both"/>
        <w:ind w:right="380"/>
        <w:spacing w:after="0" w:line="244" w:lineRule="auto"/>
        <w:rPr>
          <w:sz w:val="20"/>
          <w:szCs w:val="20"/>
          <w:color w:val="auto"/>
        </w:rPr>
      </w:pPr>
      <w:r>
        <w:rPr>
          <w:rFonts w:ascii="Arial" w:cs="Arial" w:eastAsia="Arial" w:hAnsi="Arial"/>
          <w:sz w:val="18"/>
          <w:szCs w:val="18"/>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either exclusive forum provision contained in our restated certificate of incorporation to be inapplicable or unenforceable in an action, we may incur further significant additional costs associated with resolving such action in other jurisdictions, all of which could materially adversely affect our business, financial condition and operating results.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General Risk Factors</w:t>
      </w:r>
    </w:p>
    <w:p>
      <w:pPr>
        <w:spacing w:after="0" w:line="106"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Changes in patent law in the United States or worldwide could diminish the value of patents in general, thereby impairing our ability to protect any product candidates we may develop and our technology.</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Changes in either the patent laws or interpretation of patent laws in the United States and worldwide, including patent reform legislation such as the Leahy-Smith America Invents Act, or the Leahy-Smith Act, could increase the uncertainties and costs surrounding the prosecution of any owned or in-licensed patent applications and the maintenance, enforcement or defense of any current in-licensed issued patents and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in-licensed issued patents and issued patents we may own or in-license in the future, all of which could have a material adverse effect on our business, financial condition, results of operations and prospects. Because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16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unpatentable even though the same evidence would be insufficient to invalidate the claim if first presented in a district court action. Accordingly, a third party may attempt to use the USPTO procedures to review patentability of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7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As one example, in the case Assoc. for Molecular Pathology v. Myriad Genetics, Inc., the U.S. Supreme Court held that certain claims to DNA molecules are not patentable simply because they have been isolated from surrounding material. Moreover, in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patent-ineligible subject matter. Accordingly, in view of the guidance memo, there can be no assurance that claims in our patent rights covering any product candidates we may develop or our technology will be held by the USPTO or equivalent foreign patent offices or by courts in the United States or in foreign jurisdictions to cover patentable subject matter.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97" w:name="page98"/>
    <w:bookmarkEnd w:id="97"/>
    <w:p>
      <w:pPr>
        <w:ind w:right="400"/>
        <w:spacing w:after="0" w:line="278" w:lineRule="auto"/>
        <w:rPr>
          <w:sz w:val="20"/>
          <w:szCs w:val="20"/>
          <w:color w:val="auto"/>
        </w:rPr>
      </w:pPr>
      <w:r>
        <w:rPr>
          <w:rFonts w:ascii="Arial" w:cs="Arial" w:eastAsia="Arial" w:hAnsi="Arial"/>
          <w:sz w:val="18"/>
          <w:szCs w:val="18"/>
          <w:b w:val="1"/>
          <w:bCs w:val="1"/>
          <w:i w:val="1"/>
          <w:iCs w:val="1"/>
          <w:color w:val="auto"/>
        </w:rPr>
        <w:t>Changes in tax laws or regulations or in their implementation or interpretation may adversely affect our business and financial condition.</w:t>
      </w:r>
    </w:p>
    <w:p>
      <w:pPr>
        <w:spacing w:after="0" w:line="3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and in particular imposes a 1% excise tax on certain stock repurchases by publicly traded corporations.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OBBBA, and additional tax-related legislation is and continues to be forthcoming, and such guidance could ultimately increase or lessen the impact of these laws on our business and financial condition. In addition, it is uncertain if and to what extent various states will conform to such legislation.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Trading Arrangements</w:t>
      </w:r>
    </w:p>
    <w:p>
      <w:pPr>
        <w:spacing w:after="0" w:line="1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None of our directors or officers (as defined in Rule 16a-1(f) under the Securities Exchange Act of 1934, as amended) adopted or terminated a Rule 10b5-1 trading arrangement or a non-Rule 10b5-1 trading arrangement (as defined in Item 408(c) of Regulation S-K) during the quarterly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ind w:left="280"/>
              <w:spacing w:after="0"/>
              <w:rPr>
                <w:sz w:val="20"/>
                <w:szCs w:val="20"/>
                <w:color w:val="auto"/>
              </w:rPr>
            </w:pPr>
            <w:r>
              <w:rPr>
                <w:rFonts w:ascii="Arial" w:cs="Arial" w:eastAsia="Arial" w:hAnsi="Arial"/>
                <w:sz w:val="14"/>
                <w:szCs w:val="14"/>
                <w:color w:val="auto"/>
              </w:rPr>
              <w:t>Exhibit</w:t>
            </w: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Number</w:t>
            </w:r>
          </w:p>
        </w:tc>
        <w:tc>
          <w:tcPr>
            <w:tcW w:w="120" w:type="dxa"/>
            <w:vAlign w:val="bottom"/>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7820" w:type="dxa"/>
            <w:vAlign w:val="bottom"/>
            <w:tcBorders>
              <w:bottom w:val="single" w:sz="8" w:color="auto"/>
            </w:tcBorders>
            <w:gridSpan w:val="7"/>
          </w:tcPr>
          <w:p>
            <w:pPr>
              <w:ind w:left="2380"/>
              <w:spacing w:after="0"/>
              <w:rPr>
                <w:sz w:val="20"/>
                <w:szCs w:val="20"/>
                <w:color w:val="auto"/>
              </w:rPr>
            </w:pPr>
            <w:r>
              <w:rPr>
                <w:rFonts w:ascii="Arial" w:cs="Arial" w:eastAsia="Arial" w:hAnsi="Arial"/>
                <w:sz w:val="14"/>
                <w:szCs w:val="14"/>
                <w:color w:val="auto"/>
              </w:rPr>
              <w:t>Description</w:t>
            </w:r>
          </w:p>
        </w:tc>
      </w:tr>
      <w:tr>
        <w:trPr>
          <w:trHeight w:val="290"/>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600" w:type="dxa"/>
            <w:vAlign w:val="bottom"/>
            <w:tcBorders>
              <w:top w:val="single" w:sz="8" w:color="0000FF"/>
            </w:tcBorders>
            <w:gridSpan w:val="4"/>
          </w:tcPr>
          <w:p>
            <w:pPr>
              <w:spacing w:after="0"/>
              <w:rPr>
                <w:sz w:val="15"/>
                <w:szCs w:val="15"/>
                <w:color w:val="auto"/>
              </w:rPr>
            </w:pPr>
          </w:p>
        </w:tc>
        <w:tc>
          <w:tcPr>
            <w:tcW w:w="280" w:type="dxa"/>
            <w:vAlign w:val="bottom"/>
          </w:tcPr>
          <w:p>
            <w:pPr>
              <w:spacing w:after="0"/>
              <w:rPr>
                <w:sz w:val="15"/>
                <w:szCs w:val="15"/>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40" w:type="dxa"/>
            <w:vAlign w:val="bottom"/>
            <w:tcBorders>
              <w:top w:val="single" w:sz="8" w:color="0000FF"/>
            </w:tcBorders>
            <w:gridSpan w:val="3"/>
          </w:tcPr>
          <w:p>
            <w:pPr>
              <w:spacing w:after="0"/>
              <w:rPr>
                <w:sz w:val="15"/>
                <w:szCs w:val="15"/>
                <w:color w:val="auto"/>
              </w:rPr>
            </w:pPr>
          </w:p>
        </w:tc>
        <w:tc>
          <w:tcPr>
            <w:tcW w:w="340" w:type="dxa"/>
            <w:vAlign w:val="bottom"/>
            <w:gridSpan w:val="2"/>
          </w:tcPr>
          <w:p>
            <w:pPr>
              <w:spacing w:after="0"/>
              <w:rPr>
                <w:sz w:val="15"/>
                <w:szCs w:val="15"/>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2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00" w:type="dxa"/>
            <w:vAlign w:val="bottom"/>
            <w:gridSpan w:val="3"/>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6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60" w:type="dxa"/>
            <w:vAlign w:val="bottom"/>
            <w:gridSpan w:val="4"/>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7820" w:type="dxa"/>
            <w:vAlign w:val="bottom"/>
            <w:gridSpan w:val="7"/>
          </w:tcPr>
          <w:p>
            <w:pPr>
              <w:spacing w:after="0" w:line="20" w:lineRule="exact"/>
              <w:rPr>
                <w:sz w:val="1"/>
                <w:szCs w:val="1"/>
                <w:color w:val="auto"/>
              </w:rPr>
            </w:pPr>
          </w:p>
        </w:tc>
      </w:tr>
      <w:tr>
        <w:trPr>
          <w:trHeight w:val="312"/>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7"/>
                <w:szCs w:val="17"/>
                <w:color w:val="auto"/>
              </w:rPr>
            </w:pPr>
          </w:p>
        </w:tc>
        <w:tc>
          <w:tcPr>
            <w:tcW w:w="1012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7"/>
                <w:szCs w:val="17"/>
                <w:color w:val="auto"/>
              </w:rPr>
            </w:pPr>
          </w:p>
        </w:tc>
        <w:tc>
          <w:tcPr>
            <w:tcW w:w="1012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7"/>
                <w:szCs w:val="17"/>
                <w:color w:val="auto"/>
              </w:rPr>
            </w:pPr>
          </w:p>
        </w:tc>
        <w:tc>
          <w:tcPr>
            <w:tcW w:w="1012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7"/>
                <w:szCs w:val="17"/>
                <w:color w:val="auto"/>
              </w:rPr>
            </w:pPr>
          </w:p>
        </w:tc>
        <w:tc>
          <w:tcPr>
            <w:tcW w:w="1012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r>
      <w:tr>
        <w:trPr>
          <w:trHeight w:val="221"/>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1012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100" w:right="400" w:hanging="1092"/>
        <w:spacing w:after="0" w:line="250" w:lineRule="auto"/>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three months ended September 30, 2026,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512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6" w:lineRule="exact"/>
        <w:rPr>
          <w:sz w:val="20"/>
          <w:szCs w:val="20"/>
          <w:color w:val="auto"/>
        </w:rPr>
      </w:pPr>
    </w:p>
    <w:p>
      <w:pPr>
        <w:ind w:right="320" w:firstLine="8"/>
        <w:spacing w:after="0" w:line="247" w:lineRule="auto"/>
        <w:tabs>
          <w:tab w:leader="none" w:pos="1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are deemed furnished and not filed with the Securities and Exchange Commission and are not to be incorporated by reference into any filing of Dyne Therapeutics, Inc. under the Securities Act of 1933, as amended, or the Securities Exchange Act of 1934, as amended, whether made before or after the date of this Quarterly Report, irrespective of any general incorporation language contained in such filing.</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9" w:name="page100"/>
    <w:bookmarkEnd w:id="99"/>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DYNE THERAPEUTICS, INC.</w:t>
      </w:r>
    </w:p>
    <w:p>
      <w:pPr>
        <w:spacing w:after="0" w:line="198" w:lineRule="exact"/>
        <w:rPr>
          <w:sz w:val="20"/>
          <w:szCs w:val="20"/>
          <w:color w:val="auto"/>
        </w:rPr>
      </w:pPr>
    </w:p>
    <w:p>
      <w:pPr>
        <w:spacing w:after="0"/>
        <w:tabs>
          <w:tab w:leader="none" w:pos="5560" w:val="left"/>
          <w:tab w:leader="none" w:pos="8040" w:val="left"/>
        </w:tabs>
        <w:rPr>
          <w:sz w:val="20"/>
          <w:szCs w:val="20"/>
          <w:color w:val="auto"/>
        </w:rPr>
      </w:pPr>
      <w:r>
        <w:rPr>
          <w:rFonts w:ascii="Arial" w:cs="Arial" w:eastAsia="Arial" w:hAnsi="Arial"/>
          <w:sz w:val="18"/>
          <w:szCs w:val="18"/>
          <w:color w:val="auto"/>
        </w:rPr>
        <w:t>Date: November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G.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John G. Cox</w:t>
      </w:r>
    </w:p>
    <w:p>
      <w:pPr>
        <w:jc w:val="center"/>
        <w:ind w:left="610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5560" w:val="left"/>
          <w:tab w:leader="none" w:pos="8040" w:val="left"/>
        </w:tabs>
        <w:rPr>
          <w:sz w:val="20"/>
          <w:szCs w:val="20"/>
          <w:color w:val="auto"/>
        </w:rPr>
      </w:pPr>
      <w:r>
        <w:rPr>
          <w:rFonts w:ascii="Arial" w:cs="Arial" w:eastAsia="Arial" w:hAnsi="Arial"/>
          <w:sz w:val="18"/>
          <w:szCs w:val="18"/>
          <w:color w:val="auto"/>
        </w:rPr>
        <w:t>Date: November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Erick Lucera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Erick Lucera</w:t>
      </w:r>
    </w:p>
    <w:p>
      <w:pPr>
        <w:jc w:val="center"/>
        <w:ind w:left="610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100" w:name="page101"/>
    <w:bookmarkEnd w:id="100"/>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G. Cox, hereby certify that:</w:t>
      </w:r>
    </w:p>
    <w:p>
      <w:pPr>
        <w:spacing w:after="0" w:line="117"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Dyne Therapeutics, Inc.;</w:t>
      </w:r>
    </w:p>
    <w:p>
      <w:pPr>
        <w:spacing w:after="0" w:line="117"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120" w:firstLine="8"/>
        <w:spacing w:after="0" w:line="266" w:lineRule="auto"/>
        <w:tabs>
          <w:tab w:leader="none" w:pos="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0" w:firstLine="8"/>
        <w:spacing w:after="0" w:line="282" w:lineRule="auto"/>
        <w:tabs>
          <w:tab w:leader="none" w:pos="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80" w:firstLine="8"/>
        <w:spacing w:after="0" w:line="266"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40" w:firstLine="8"/>
        <w:spacing w:after="0" w:line="28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0" w:firstLine="8"/>
        <w:spacing w:after="0" w:line="282" w:lineRule="auto"/>
        <w:tabs>
          <w:tab w:leader="none" w:pos="2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G.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 Cox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1" w:name="page102"/>
    <w:bookmarkEnd w:id="10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Erick Lucera, hereby certify that:</w:t>
      </w:r>
    </w:p>
    <w:p>
      <w:pPr>
        <w:spacing w:after="0" w:line="117" w:lineRule="exact"/>
        <w:rPr>
          <w:sz w:val="20"/>
          <w:szCs w:val="20"/>
          <w:color w:val="auto"/>
        </w:rPr>
      </w:pPr>
    </w:p>
    <w:p>
      <w:pPr>
        <w:ind w:left="180" w:hanging="172"/>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Dyne Therapeutics, Inc.;</w:t>
      </w:r>
    </w:p>
    <w:p>
      <w:pPr>
        <w:spacing w:after="0" w:line="117"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120" w:firstLine="8"/>
        <w:spacing w:after="0" w:line="266"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0" w:firstLine="8"/>
        <w:spacing w:after="0" w:line="282"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80" w:firstLine="8"/>
        <w:spacing w:after="0" w:line="266"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4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0" w:firstLine="8"/>
        <w:spacing w:after="0" w:line="282" w:lineRule="auto"/>
        <w:tabs>
          <w:tab w:leader="none" w:pos="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Erick Lucera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Erick Lucera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John G. Cox, certify pursuant to 18 U.S.C. Section 1350, as adopted pursuant to Section 906 of the Sarbanes-Oxley Act of 2002, that, to my knowledge, the Quarterly Report on Form 10-Q of Dyne Therapeutics, Inc. for the fiscal quarter ended September 30, 2026 fully complies with the requirements of Section 13(a) or 15(d) of the Securities Exchange Act of 1934 and the information contained in such Form 10-Q fairly presents, in all material respects, the financial condition and results of operations of Dyne Therapeutics,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G.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 Cox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Erick Lucera, certify pursuant to 18 U.S.C. Section 1350, as adopted pursuant to Section 906 of the Sarbanes-Oxley Act of 2002, that, to my knowledge, the Quarterly Report on Form 10-Q of Dyne Therapeutics, Inc. for the fiscal quarter ended September 30, 2026 fully complies with the requirements of Section 13(a) or 15(d) of the Securities Exchange Act of 1934 and the information contained in such Form 10-Q fairly presents, in all material respects, the financial condition and results of operations of Dyne Therapeutics,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Erick Lucera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Erick Lucera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lvl w:ilvl="1">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04"/>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5"/>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5"/>
    </w:lvl>
  </w:abstractNum>
  <w:abstractNum w:abstractNumId="54">
    <w:nsid w:val="23F9C13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2026-11-05T06:29:47Z</dcterms:created>
  <dcterms:modified xsi:type="dcterms:W3CDTF">2026-11-05T06:29:47Z</dcterms:modified>
</cp:coreProperties>
</file>