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Friedl-Naderer Johanna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798"/>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24.35</w:t>
            </w:r>
            <w:r>
              <w:rPr>
                <w:rFonts w:ascii="Times;serif" w:hAnsi="Times;serif"/>
                <w:color w:val="008000"/>
                <w:position w:val="7"/>
                <w:sz w:val="16"/>
                <w:sz w:val="20"/>
                <w:shd w:fill="FFFFFF" w:val="clear"/>
              </w:rPr>
              <w:t>(2)</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153,082</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w:t>
            </w:r>
            <w:r>
              <w:rPr>
                <w:rFonts w:ascii="Times;serif" w:hAnsi="Times;serif"/>
                <w:color w:val="008000"/>
                <w:position w:val="7"/>
                <w:sz w:val="16"/>
                <w:sz w:val="20"/>
                <w:shd w:fill="FFFFFF" w:val="clear"/>
              </w:rPr>
              <w:t>(4)</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152,897</w:t>
            </w:r>
            <w:r>
              <w:rPr>
                <w:rFonts w:ascii="Times;serif" w:hAnsi="Times;serif"/>
                <w:color w:val="008000"/>
                <w:position w:val="7"/>
                <w:sz w:val="16"/>
                <w:sz w:val="20"/>
                <w:shd w:fill="FFFFFF" w:val="clear"/>
              </w:rPr>
              <w:t>(5)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September 3,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$24.29 to $24.50,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automatically sold by the Reporting Person to satisfy tax withholding obligations in connection with the vesting of restricted stock units granted to the Reporting Person on December 4,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the range of $18.77 to $18.92,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102,966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5598"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889</Words>
  <Characters>4815</Characters>
  <CharactersWithSpaces>5624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